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46150" w14:textId="67B356BB" w:rsidR="004909BE" w:rsidRPr="000012EC" w:rsidRDefault="008A4618" w:rsidP="00627C61">
      <w:pPr>
        <w:jc w:val="center"/>
        <w:rPr>
          <w:rFonts w:cstheme="minorHAnsi"/>
        </w:rPr>
      </w:pPr>
      <w:r w:rsidRPr="000012EC">
        <w:rPr>
          <w:rFonts w:cstheme="minorHAnsi"/>
        </w:rPr>
        <w:t>UNDP ISSUE BRIEF</w:t>
      </w:r>
    </w:p>
    <w:p w14:paraId="66133D2A" w14:textId="77777777" w:rsidR="008A4618" w:rsidRDefault="008A4618" w:rsidP="008A4618">
      <w:pPr>
        <w:jc w:val="center"/>
        <w:rPr>
          <w:rFonts w:cstheme="minorHAnsi"/>
        </w:rPr>
      </w:pPr>
    </w:p>
    <w:p w14:paraId="40D87B9F" w14:textId="77777777" w:rsidR="008A4618" w:rsidRPr="000012EC" w:rsidRDefault="008A4618" w:rsidP="008A4618">
      <w:pPr>
        <w:jc w:val="center"/>
        <w:rPr>
          <w:rFonts w:cstheme="minorHAnsi"/>
        </w:rPr>
      </w:pPr>
      <w:r w:rsidRPr="000012EC">
        <w:rPr>
          <w:rFonts w:cstheme="minorHAnsi"/>
        </w:rPr>
        <w:t>Annotated Outline</w:t>
      </w:r>
    </w:p>
    <w:p w14:paraId="716636E4" w14:textId="77777777" w:rsidR="00627C61" w:rsidRPr="000012EC" w:rsidRDefault="00627C61" w:rsidP="00627C61">
      <w:pPr>
        <w:jc w:val="center"/>
        <w:rPr>
          <w:rFonts w:cstheme="minorHAnsi"/>
        </w:rPr>
      </w:pPr>
    </w:p>
    <w:p w14:paraId="7954BA31" w14:textId="77777777" w:rsidR="00627C61" w:rsidRPr="0023567F" w:rsidRDefault="004909BE" w:rsidP="00627C61">
      <w:pPr>
        <w:jc w:val="center"/>
        <w:rPr>
          <w:rFonts w:cstheme="minorHAnsi"/>
          <w:b/>
        </w:rPr>
      </w:pPr>
      <w:r w:rsidRPr="0023567F">
        <w:rPr>
          <w:rFonts w:cstheme="minorHAnsi"/>
          <w:b/>
        </w:rPr>
        <w:t xml:space="preserve">An integrated </w:t>
      </w:r>
      <w:r w:rsidR="00627C61" w:rsidRPr="0023567F">
        <w:rPr>
          <w:rFonts w:cstheme="minorHAnsi"/>
          <w:b/>
        </w:rPr>
        <w:t>approach to the development and delivery of n</w:t>
      </w:r>
      <w:r w:rsidRPr="0023567F">
        <w:rPr>
          <w:rFonts w:cstheme="minorHAnsi"/>
          <w:b/>
        </w:rPr>
        <w:t>ew health technologies</w:t>
      </w:r>
      <w:r w:rsidR="00627C61" w:rsidRPr="0023567F">
        <w:rPr>
          <w:rFonts w:cstheme="minorHAnsi"/>
          <w:b/>
        </w:rPr>
        <w:t xml:space="preserve">: </w:t>
      </w:r>
    </w:p>
    <w:p w14:paraId="4277E342" w14:textId="77777777" w:rsidR="001447B8" w:rsidRPr="000012EC" w:rsidRDefault="00627C61" w:rsidP="00627C61">
      <w:pPr>
        <w:jc w:val="center"/>
        <w:rPr>
          <w:rFonts w:cstheme="minorHAnsi"/>
        </w:rPr>
      </w:pPr>
      <w:r w:rsidRPr="0023567F">
        <w:rPr>
          <w:rFonts w:cstheme="minorHAnsi"/>
          <w:b/>
        </w:rPr>
        <w:t>A case study of Tanzania</w:t>
      </w:r>
    </w:p>
    <w:p w14:paraId="0C5645C1" w14:textId="77777777" w:rsidR="001447B8" w:rsidRPr="000012EC" w:rsidRDefault="001447B8" w:rsidP="00627C61">
      <w:pPr>
        <w:rPr>
          <w:rFonts w:cstheme="minorHAnsi"/>
        </w:rPr>
      </w:pPr>
    </w:p>
    <w:p w14:paraId="019ACD44" w14:textId="77777777" w:rsidR="00627C61" w:rsidRPr="000012EC" w:rsidRDefault="00627C61" w:rsidP="00627C61">
      <w:pPr>
        <w:rPr>
          <w:rFonts w:cstheme="minorHAnsi"/>
        </w:rPr>
      </w:pPr>
    </w:p>
    <w:p w14:paraId="5EBC110A" w14:textId="77777777" w:rsidR="008A4618" w:rsidRDefault="0082015F" w:rsidP="008A4618">
      <w:pPr>
        <w:rPr>
          <w:rFonts w:cstheme="minorHAnsi"/>
          <w:b/>
        </w:rPr>
      </w:pPr>
      <w:r w:rsidRPr="008A4618">
        <w:rPr>
          <w:rFonts w:cstheme="minorHAnsi"/>
          <w:b/>
        </w:rPr>
        <w:t>1.</w:t>
      </w:r>
      <w:r w:rsidRPr="008A4618">
        <w:rPr>
          <w:rFonts w:cstheme="minorHAnsi"/>
          <w:b/>
        </w:rPr>
        <w:tab/>
        <w:t>Introduction</w:t>
      </w:r>
    </w:p>
    <w:p w14:paraId="7BAA4BA4" w14:textId="77777777" w:rsidR="008A4618" w:rsidRDefault="008A4618" w:rsidP="008A4618">
      <w:pPr>
        <w:rPr>
          <w:rFonts w:cstheme="minorHAnsi"/>
          <w:b/>
        </w:rPr>
      </w:pPr>
    </w:p>
    <w:p w14:paraId="29CB6B86" w14:textId="4F24C84A" w:rsidR="008A4618" w:rsidRPr="008A4618" w:rsidRDefault="000012EC" w:rsidP="008A4618">
      <w:pPr>
        <w:rPr>
          <w:rFonts w:cstheme="minorHAnsi"/>
          <w:b/>
        </w:rPr>
      </w:pPr>
      <w:r w:rsidRPr="00D418A1">
        <w:rPr>
          <w:rFonts w:cstheme="minorHAnsi"/>
        </w:rPr>
        <w:t>Context-setting section</w:t>
      </w:r>
      <w:r w:rsidR="00D418A1">
        <w:rPr>
          <w:rFonts w:cstheme="minorHAnsi"/>
        </w:rPr>
        <w:t xml:space="preserve">: </w:t>
      </w:r>
      <w:r w:rsidRPr="00D418A1">
        <w:rPr>
          <w:rFonts w:cstheme="minorHAnsi"/>
        </w:rPr>
        <w:t xml:space="preserve">focus on TB, </w:t>
      </w:r>
      <w:r w:rsidR="00EB78F8" w:rsidRPr="00D418A1">
        <w:rPr>
          <w:rFonts w:cstheme="minorHAnsi"/>
        </w:rPr>
        <w:t>malaria and NTDs</w:t>
      </w:r>
      <w:r w:rsidRPr="00D418A1">
        <w:rPr>
          <w:rFonts w:cstheme="minorHAnsi"/>
        </w:rPr>
        <w:t xml:space="preserve">, with data/statistics on </w:t>
      </w:r>
      <w:r w:rsidR="00EB78F8" w:rsidRPr="00D418A1">
        <w:rPr>
          <w:rFonts w:cstheme="minorHAnsi"/>
        </w:rPr>
        <w:t>significant human and sustainable development impacts, and the need</w:t>
      </w:r>
      <w:r w:rsidRPr="00D418A1">
        <w:rPr>
          <w:rFonts w:cstheme="minorHAnsi"/>
        </w:rPr>
        <w:t xml:space="preserve"> </w:t>
      </w:r>
      <w:r w:rsidR="00EB78F8" w:rsidRPr="00D418A1">
        <w:rPr>
          <w:rFonts w:cstheme="minorHAnsi"/>
        </w:rPr>
        <w:t>for</w:t>
      </w:r>
      <w:r w:rsidR="008F4354" w:rsidRPr="00D418A1">
        <w:rPr>
          <w:rFonts w:cstheme="minorHAnsi"/>
        </w:rPr>
        <w:t xml:space="preserve"> innovative approaches </w:t>
      </w:r>
      <w:r w:rsidR="00EB78F8" w:rsidRPr="00D418A1">
        <w:rPr>
          <w:rFonts w:cstheme="minorHAnsi"/>
        </w:rPr>
        <w:t>to develop and deliver appropriate health technologies</w:t>
      </w:r>
      <w:r w:rsidR="008F4354" w:rsidRPr="00D418A1">
        <w:rPr>
          <w:rFonts w:cstheme="minorHAnsi"/>
        </w:rPr>
        <w:t xml:space="preserve">. </w:t>
      </w:r>
      <w:r w:rsidR="008A4618">
        <w:rPr>
          <w:rFonts w:cstheme="minorHAnsi"/>
        </w:rPr>
        <w:t>Key points:</w:t>
      </w:r>
    </w:p>
    <w:p w14:paraId="2BEAC6F5" w14:textId="77777777" w:rsidR="008A4618" w:rsidRDefault="008A4618" w:rsidP="008A4618">
      <w:pPr>
        <w:pStyle w:val="ListParagraph"/>
        <w:autoSpaceDE w:val="0"/>
        <w:autoSpaceDN w:val="0"/>
        <w:adjustRightInd w:val="0"/>
        <w:ind w:left="1080"/>
        <w:rPr>
          <w:rFonts w:cstheme="minorHAnsi"/>
          <w:szCs w:val="22"/>
        </w:rPr>
      </w:pPr>
    </w:p>
    <w:p w14:paraId="4F19FE0A" w14:textId="7BE8C56C" w:rsidR="00D418A1" w:rsidRPr="00D418A1" w:rsidRDefault="008A058E" w:rsidP="008A4618">
      <w:pPr>
        <w:pStyle w:val="ListParagraph"/>
        <w:numPr>
          <w:ilvl w:val="0"/>
          <w:numId w:val="3"/>
        </w:numPr>
        <w:autoSpaceDE w:val="0"/>
        <w:autoSpaceDN w:val="0"/>
        <w:adjustRightInd w:val="0"/>
        <w:ind w:left="540" w:hanging="540"/>
        <w:rPr>
          <w:rFonts w:cstheme="minorHAnsi"/>
          <w:szCs w:val="22"/>
        </w:rPr>
      </w:pPr>
      <w:r w:rsidRPr="00D418A1">
        <w:rPr>
          <w:rFonts w:cstheme="minorHAnsi"/>
          <w:szCs w:val="22"/>
        </w:rPr>
        <w:t xml:space="preserve">The Sustainable Development Goals explicitly calls for the elimination of TB, malaria and NTDS as a development priority. Further, the SDGs set a 2030 target for the “end of the epidemics of </w:t>
      </w:r>
      <w:r w:rsidRPr="00D418A1">
        <w:rPr>
          <w:rFonts w:cstheme="minorHAnsi"/>
          <w:szCs w:val="22"/>
        </w:rPr>
        <w:t>AIDS, TB, malaria and NTDs, and advocate for a systemic approach t</w:t>
      </w:r>
      <w:r w:rsidRPr="00D418A1">
        <w:rPr>
          <w:rFonts w:ascii="TradeGothicLTStd-Light" w:hAnsi="TradeGothicLTStd-Light" w:cs="TradeGothicLTStd-Light"/>
          <w:sz w:val="20"/>
          <w:szCs w:val="20"/>
        </w:rPr>
        <w:t>o tackling these diseases, underlining the importance for health systems strengthening and universal health</w:t>
      </w:r>
      <w:r w:rsidR="005E2757" w:rsidRPr="00D418A1">
        <w:rPr>
          <w:rFonts w:ascii="TradeGothicLTStd-Light" w:hAnsi="TradeGothicLTStd-Light" w:cs="TradeGothicLTStd-Light"/>
          <w:sz w:val="20"/>
          <w:szCs w:val="20"/>
        </w:rPr>
        <w:t xml:space="preserve"> </w:t>
      </w:r>
      <w:r w:rsidRPr="00D418A1">
        <w:rPr>
          <w:rFonts w:ascii="TradeGothicLTStd-Light" w:hAnsi="TradeGothicLTStd-Light" w:cs="TradeGothicLTStd-Light"/>
          <w:sz w:val="20"/>
          <w:szCs w:val="20"/>
        </w:rPr>
        <w:t>coverage.</w:t>
      </w:r>
      <w:r w:rsidR="00D418A1" w:rsidRPr="00D418A1">
        <w:rPr>
          <w:rFonts w:ascii="TradeGothicLTStd-Light" w:hAnsi="TradeGothicLTStd-Light" w:cs="TradeGothicLTStd-Light"/>
          <w:sz w:val="20"/>
          <w:szCs w:val="20"/>
        </w:rPr>
        <w:t xml:space="preserve"> To meet this target, the SDGs call for support for R&amp;D </w:t>
      </w:r>
      <w:r w:rsidR="00D418A1" w:rsidRPr="00D418A1">
        <w:rPr>
          <w:rFonts w:cstheme="minorHAnsi"/>
          <w:szCs w:val="22"/>
        </w:rPr>
        <w:t>of vaccines and medicines for diseases that primarily affect developing countries, in order to provide access to affordable essential medicines and vaccines.</w:t>
      </w:r>
    </w:p>
    <w:p w14:paraId="3662E7B6" w14:textId="77777777" w:rsidR="00D418A1" w:rsidRPr="00D418A1" w:rsidRDefault="00D418A1" w:rsidP="008A4618">
      <w:pPr>
        <w:pStyle w:val="ListParagraph"/>
        <w:autoSpaceDE w:val="0"/>
        <w:autoSpaceDN w:val="0"/>
        <w:adjustRightInd w:val="0"/>
        <w:ind w:left="540" w:hanging="540"/>
        <w:rPr>
          <w:rFonts w:cstheme="minorHAnsi"/>
          <w:szCs w:val="22"/>
        </w:rPr>
      </w:pPr>
    </w:p>
    <w:p w14:paraId="794972D9" w14:textId="72EB9AB3" w:rsidR="00A73980" w:rsidRPr="008F4354" w:rsidRDefault="008877EB" w:rsidP="008A4618">
      <w:pPr>
        <w:pStyle w:val="ListParagraph"/>
        <w:numPr>
          <w:ilvl w:val="0"/>
          <w:numId w:val="3"/>
        </w:numPr>
        <w:autoSpaceDE w:val="0"/>
        <w:autoSpaceDN w:val="0"/>
        <w:adjustRightInd w:val="0"/>
        <w:ind w:left="540" w:hanging="540"/>
        <w:rPr>
          <w:rFonts w:cstheme="minorHAnsi"/>
          <w:szCs w:val="22"/>
        </w:rPr>
      </w:pPr>
      <w:r w:rsidRPr="008F4354">
        <w:rPr>
          <w:rFonts w:cstheme="minorHAnsi"/>
          <w:szCs w:val="22"/>
        </w:rPr>
        <w:t>As initiatives to stimulate greater innovation in health technologies for TB, malaria and NTDs begin to show results</w:t>
      </w:r>
      <w:r w:rsidRPr="008F4354">
        <w:rPr>
          <w:rFonts w:cstheme="minorHAnsi"/>
          <w:szCs w:val="22"/>
        </w:rPr>
        <w:t xml:space="preserve">, </w:t>
      </w:r>
      <w:r w:rsidR="00A861F1">
        <w:rPr>
          <w:rFonts w:cstheme="minorHAnsi"/>
          <w:szCs w:val="22"/>
        </w:rPr>
        <w:t xml:space="preserve">now is the time to focus on how the introduction of these new technologies can be optimally introduced into the health systems of LMICs with significant burdens of disease </w:t>
      </w:r>
    </w:p>
    <w:p w14:paraId="11C7DFAD" w14:textId="77777777" w:rsidR="00432ADD" w:rsidRPr="00432ADD" w:rsidRDefault="00432ADD" w:rsidP="008A4618">
      <w:pPr>
        <w:pStyle w:val="ListParagraph"/>
        <w:autoSpaceDE w:val="0"/>
        <w:autoSpaceDN w:val="0"/>
        <w:adjustRightInd w:val="0"/>
        <w:ind w:left="540" w:hanging="540"/>
        <w:rPr>
          <w:rFonts w:cstheme="minorHAnsi"/>
          <w:szCs w:val="22"/>
        </w:rPr>
      </w:pPr>
    </w:p>
    <w:p w14:paraId="3BDCB89B" w14:textId="6BA791A2" w:rsidR="00A73980" w:rsidRDefault="00A73980" w:rsidP="008A4618">
      <w:pPr>
        <w:pStyle w:val="ListParagraph"/>
        <w:numPr>
          <w:ilvl w:val="0"/>
          <w:numId w:val="3"/>
        </w:numPr>
        <w:autoSpaceDE w:val="0"/>
        <w:autoSpaceDN w:val="0"/>
        <w:adjustRightInd w:val="0"/>
        <w:ind w:left="540" w:hanging="540"/>
        <w:rPr>
          <w:rFonts w:cstheme="minorHAnsi"/>
          <w:szCs w:val="22"/>
        </w:rPr>
      </w:pPr>
      <w:r w:rsidRPr="00A73980">
        <w:rPr>
          <w:rFonts w:cstheme="minorHAnsi"/>
        </w:rPr>
        <w:t>From innovation to sustainable delivery</w:t>
      </w:r>
      <w:r w:rsidR="008F4354">
        <w:rPr>
          <w:rFonts w:cstheme="minorHAnsi"/>
        </w:rPr>
        <w:t>:</w:t>
      </w:r>
      <w:r w:rsidRPr="00A73980">
        <w:rPr>
          <w:rFonts w:cstheme="minorHAnsi"/>
        </w:rPr>
        <w:t xml:space="preserve"> </w:t>
      </w:r>
      <w:r>
        <w:rPr>
          <w:rFonts w:cstheme="minorHAnsi"/>
        </w:rPr>
        <w:t>d</w:t>
      </w:r>
      <w:r w:rsidR="00594EB8" w:rsidRPr="00A73980">
        <w:rPr>
          <w:rFonts w:cstheme="minorHAnsi"/>
          <w:szCs w:val="22"/>
        </w:rPr>
        <w:t>escription of</w:t>
      </w:r>
      <w:r w:rsidR="00627C61" w:rsidRPr="00A73980">
        <w:rPr>
          <w:rFonts w:cstheme="minorHAnsi"/>
          <w:szCs w:val="22"/>
        </w:rPr>
        <w:t xml:space="preserve"> the rationale and premise of </w:t>
      </w:r>
      <w:r w:rsidR="008877EB" w:rsidRPr="00A73980">
        <w:rPr>
          <w:rFonts w:cstheme="minorHAnsi"/>
          <w:szCs w:val="22"/>
        </w:rPr>
        <w:t xml:space="preserve">the </w:t>
      </w:r>
      <w:r w:rsidR="00627C61" w:rsidRPr="00A73980">
        <w:rPr>
          <w:rFonts w:cstheme="minorHAnsi"/>
          <w:szCs w:val="22"/>
        </w:rPr>
        <w:t xml:space="preserve">GHIT Fund and the </w:t>
      </w:r>
      <w:r w:rsidR="00594EB8" w:rsidRPr="00A73980">
        <w:rPr>
          <w:rFonts w:cstheme="minorHAnsi"/>
          <w:szCs w:val="22"/>
        </w:rPr>
        <w:t xml:space="preserve">Access and Delivery Partnership to </w:t>
      </w:r>
      <w:r w:rsidR="00627C61" w:rsidRPr="00A73980">
        <w:rPr>
          <w:rFonts w:cstheme="minorHAnsi"/>
          <w:szCs w:val="22"/>
        </w:rPr>
        <w:t xml:space="preserve">demonstrate how </w:t>
      </w:r>
      <w:r w:rsidR="000012EC" w:rsidRPr="00A73980">
        <w:rPr>
          <w:rFonts w:cstheme="minorHAnsi"/>
          <w:szCs w:val="22"/>
        </w:rPr>
        <w:t>such l</w:t>
      </w:r>
      <w:r w:rsidR="00627C61" w:rsidRPr="00A73980">
        <w:rPr>
          <w:rFonts w:cstheme="minorHAnsi"/>
          <w:szCs w:val="22"/>
        </w:rPr>
        <w:t>inkages can</w:t>
      </w:r>
      <w:r w:rsidR="000012EC" w:rsidRPr="00A73980">
        <w:rPr>
          <w:rFonts w:cstheme="minorHAnsi"/>
          <w:szCs w:val="22"/>
        </w:rPr>
        <w:t xml:space="preserve"> effectively </w:t>
      </w:r>
      <w:r w:rsidR="00627C61" w:rsidRPr="00A73980">
        <w:rPr>
          <w:rFonts w:cstheme="minorHAnsi"/>
          <w:szCs w:val="22"/>
        </w:rPr>
        <w:t>be made</w:t>
      </w:r>
      <w:r w:rsidR="000012EC" w:rsidRPr="00A73980">
        <w:rPr>
          <w:rFonts w:cstheme="minorHAnsi"/>
          <w:szCs w:val="22"/>
        </w:rPr>
        <w:t xml:space="preserve"> to ensure positive health outcomes; i.e., between </w:t>
      </w:r>
      <w:r w:rsidR="00A861F1">
        <w:rPr>
          <w:rFonts w:cstheme="minorHAnsi"/>
          <w:szCs w:val="22"/>
        </w:rPr>
        <w:t xml:space="preserve">drug discovery, </w:t>
      </w:r>
      <w:r w:rsidR="00627C61" w:rsidRPr="00A73980">
        <w:rPr>
          <w:rFonts w:cstheme="minorHAnsi"/>
          <w:szCs w:val="22"/>
        </w:rPr>
        <w:t>product development, with</w:t>
      </w:r>
      <w:r w:rsidR="00823007" w:rsidRPr="00A73980">
        <w:rPr>
          <w:rFonts w:cstheme="minorHAnsi"/>
          <w:szCs w:val="22"/>
        </w:rPr>
        <w:t xml:space="preserve"> the </w:t>
      </w:r>
      <w:r w:rsidR="00627C61" w:rsidRPr="00A73980">
        <w:rPr>
          <w:rFonts w:cstheme="minorHAnsi"/>
          <w:szCs w:val="22"/>
        </w:rPr>
        <w:t>strengthening</w:t>
      </w:r>
      <w:r w:rsidR="00823007" w:rsidRPr="00A73980">
        <w:rPr>
          <w:rFonts w:cstheme="minorHAnsi"/>
          <w:szCs w:val="22"/>
        </w:rPr>
        <w:t xml:space="preserve"> of</w:t>
      </w:r>
      <w:r w:rsidR="00627C61" w:rsidRPr="00A73980">
        <w:rPr>
          <w:rFonts w:cstheme="minorHAnsi"/>
          <w:szCs w:val="22"/>
        </w:rPr>
        <w:t xml:space="preserve"> country-level capacities </w:t>
      </w:r>
      <w:r w:rsidR="00A861F1">
        <w:rPr>
          <w:rFonts w:cstheme="minorHAnsi"/>
          <w:szCs w:val="22"/>
        </w:rPr>
        <w:t xml:space="preserve">for efficient </w:t>
      </w:r>
      <w:r w:rsidR="007021CA" w:rsidRPr="00A73980">
        <w:rPr>
          <w:rFonts w:cstheme="minorHAnsi"/>
          <w:szCs w:val="22"/>
        </w:rPr>
        <w:t>delivery of health technologies</w:t>
      </w:r>
    </w:p>
    <w:p w14:paraId="1DA2D419" w14:textId="77777777" w:rsidR="00C30608" w:rsidRPr="000012EC" w:rsidRDefault="00C30608" w:rsidP="008F4354">
      <w:pPr>
        <w:autoSpaceDE w:val="0"/>
        <w:autoSpaceDN w:val="0"/>
        <w:adjustRightInd w:val="0"/>
        <w:ind w:left="1080" w:hanging="360"/>
        <w:rPr>
          <w:rFonts w:cstheme="minorHAnsi"/>
        </w:rPr>
      </w:pPr>
    </w:p>
    <w:p w14:paraId="5A1775F9" w14:textId="6289FE82" w:rsidR="008A4618" w:rsidRDefault="00A73980" w:rsidP="008A4618">
      <w:pPr>
        <w:autoSpaceDE w:val="0"/>
        <w:autoSpaceDN w:val="0"/>
        <w:adjustRightInd w:val="0"/>
        <w:rPr>
          <w:rFonts w:cstheme="minorHAnsi"/>
          <w:b/>
        </w:rPr>
      </w:pPr>
      <w:r w:rsidRPr="008A4618">
        <w:rPr>
          <w:rFonts w:cstheme="minorHAnsi"/>
          <w:b/>
        </w:rPr>
        <w:t>2</w:t>
      </w:r>
      <w:r w:rsidR="00823007" w:rsidRPr="008A4618">
        <w:rPr>
          <w:rFonts w:cstheme="minorHAnsi"/>
          <w:b/>
        </w:rPr>
        <w:t>.</w:t>
      </w:r>
      <w:r w:rsidR="0082015F" w:rsidRPr="008A4618">
        <w:rPr>
          <w:rFonts w:cstheme="minorHAnsi"/>
          <w:b/>
        </w:rPr>
        <w:tab/>
      </w:r>
      <w:r w:rsidR="00CE1F0E" w:rsidRPr="008A4618">
        <w:rPr>
          <w:rFonts w:cstheme="minorHAnsi"/>
          <w:b/>
        </w:rPr>
        <w:t>Tanzania</w:t>
      </w:r>
      <w:r w:rsidR="00CE1F0E">
        <w:rPr>
          <w:rFonts w:cstheme="minorHAnsi"/>
          <w:b/>
        </w:rPr>
        <w:t>:</w:t>
      </w:r>
      <w:r w:rsidR="00CE1F0E" w:rsidRPr="008A4618">
        <w:rPr>
          <w:rFonts w:cstheme="minorHAnsi"/>
          <w:b/>
        </w:rPr>
        <w:t xml:space="preserve"> </w:t>
      </w:r>
      <w:r w:rsidR="00823007" w:rsidRPr="008A4618">
        <w:rPr>
          <w:rFonts w:cstheme="minorHAnsi"/>
          <w:b/>
        </w:rPr>
        <w:t>Implementing an integrated approach</w:t>
      </w:r>
    </w:p>
    <w:p w14:paraId="47C3AF7F" w14:textId="77777777" w:rsidR="008A4618" w:rsidRDefault="008A4618" w:rsidP="008A4618">
      <w:pPr>
        <w:autoSpaceDE w:val="0"/>
        <w:autoSpaceDN w:val="0"/>
        <w:adjustRightInd w:val="0"/>
        <w:rPr>
          <w:rFonts w:cstheme="minorHAnsi"/>
          <w:b/>
        </w:rPr>
      </w:pPr>
    </w:p>
    <w:p w14:paraId="7B7AF740" w14:textId="59AA0C30" w:rsidR="00A515CA" w:rsidRPr="008A4618" w:rsidRDefault="000012EC" w:rsidP="008A4618">
      <w:pPr>
        <w:autoSpaceDE w:val="0"/>
        <w:autoSpaceDN w:val="0"/>
        <w:adjustRightInd w:val="0"/>
        <w:rPr>
          <w:rFonts w:cstheme="minorHAnsi"/>
          <w:b/>
        </w:rPr>
      </w:pPr>
      <w:r w:rsidRPr="00A515CA">
        <w:rPr>
          <w:rFonts w:cstheme="minorHAnsi"/>
        </w:rPr>
        <w:t xml:space="preserve">This section </w:t>
      </w:r>
      <w:r w:rsidR="00595466" w:rsidRPr="00A515CA">
        <w:rPr>
          <w:rFonts w:cstheme="minorHAnsi"/>
        </w:rPr>
        <w:t>describes the</w:t>
      </w:r>
      <w:r w:rsidR="00432ADD">
        <w:rPr>
          <w:rFonts w:cstheme="minorHAnsi"/>
        </w:rPr>
        <w:t xml:space="preserve"> </w:t>
      </w:r>
      <w:r w:rsidR="00595466" w:rsidRPr="00A515CA">
        <w:rPr>
          <w:rFonts w:cstheme="minorHAnsi"/>
        </w:rPr>
        <w:t>implementation of</w:t>
      </w:r>
      <w:r w:rsidR="0098680B" w:rsidRPr="00A515CA">
        <w:rPr>
          <w:rFonts w:cstheme="minorHAnsi"/>
        </w:rPr>
        <w:t xml:space="preserve"> the integrated approach</w:t>
      </w:r>
      <w:r w:rsidR="00432ADD">
        <w:rPr>
          <w:rFonts w:cstheme="minorHAnsi"/>
        </w:rPr>
        <w:t xml:space="preserve"> in</w:t>
      </w:r>
      <w:r w:rsidR="008F4354" w:rsidRPr="00A515CA">
        <w:rPr>
          <w:rFonts w:cstheme="minorHAnsi"/>
        </w:rPr>
        <w:t xml:space="preserve"> Tanzania</w:t>
      </w:r>
      <w:r w:rsidR="00CE1F0E">
        <w:rPr>
          <w:rFonts w:cstheme="minorHAnsi"/>
        </w:rPr>
        <w:t>, with country-specific context and background</w:t>
      </w:r>
      <w:r w:rsidR="008F4354" w:rsidRPr="00A515CA">
        <w:rPr>
          <w:rFonts w:cstheme="minorHAnsi"/>
        </w:rPr>
        <w:t xml:space="preserve">. </w:t>
      </w:r>
      <w:r w:rsidR="008A4618">
        <w:rPr>
          <w:rFonts w:cstheme="minorHAnsi"/>
        </w:rPr>
        <w:t>Key points include:</w:t>
      </w:r>
    </w:p>
    <w:p w14:paraId="376C5646" w14:textId="77777777" w:rsidR="00432ADD" w:rsidRDefault="00432ADD" w:rsidP="00432ADD">
      <w:pPr>
        <w:pStyle w:val="ListParagraph"/>
        <w:ind w:left="1080"/>
        <w:rPr>
          <w:rFonts w:cstheme="minorHAnsi"/>
          <w:szCs w:val="22"/>
        </w:rPr>
      </w:pPr>
    </w:p>
    <w:p w14:paraId="5236975E" w14:textId="1F2A4CD2" w:rsidR="00A515CA" w:rsidRPr="00F018B6" w:rsidRDefault="00F018B6" w:rsidP="00F018B6">
      <w:pPr>
        <w:pStyle w:val="ListParagraph"/>
        <w:numPr>
          <w:ilvl w:val="0"/>
          <w:numId w:val="6"/>
        </w:numPr>
        <w:tabs>
          <w:tab w:val="left" w:pos="540"/>
        </w:tabs>
        <w:ind w:left="540" w:hanging="540"/>
        <w:rPr>
          <w:rFonts w:cstheme="minorHAnsi"/>
          <w:szCs w:val="22"/>
        </w:rPr>
      </w:pPr>
      <w:r w:rsidRPr="00174273">
        <w:rPr>
          <w:rFonts w:cstheme="minorHAnsi"/>
        </w:rPr>
        <w:t xml:space="preserve">Human and economic burden of TB, malaria and NTDs; e.g., annual NTDs incidence of around 5 million cases – in a country of 43 million people – exacts huge social and economic toll. </w:t>
      </w:r>
      <w:r w:rsidR="00A515CA" w:rsidRPr="00F018B6">
        <w:rPr>
          <w:rFonts w:cstheme="minorHAnsi"/>
        </w:rPr>
        <w:t xml:space="preserve">National strategic plans, including the </w:t>
      </w:r>
      <w:r w:rsidR="00A515CA" w:rsidRPr="00F018B6">
        <w:rPr>
          <w:rFonts w:eastAsia="MyriadPro-Regular" w:cstheme="minorHAnsi"/>
          <w:i/>
          <w:iCs/>
        </w:rPr>
        <w:t>Tanzania Development Vision 2025</w:t>
      </w:r>
      <w:r w:rsidR="00432ADD" w:rsidRPr="00F018B6">
        <w:rPr>
          <w:rFonts w:eastAsia="MyriadPro-Regular" w:cstheme="minorHAnsi"/>
        </w:rPr>
        <w:t xml:space="preserve">, </w:t>
      </w:r>
      <w:r w:rsidR="00A515CA" w:rsidRPr="00F018B6">
        <w:rPr>
          <w:rFonts w:cstheme="minorHAnsi"/>
        </w:rPr>
        <w:t xml:space="preserve">have identified need for a sustainable health delivery system as </w:t>
      </w:r>
      <w:r w:rsidR="00A515CA" w:rsidRPr="00F018B6">
        <w:rPr>
          <w:rFonts w:eastAsia="MyriadPro-Regular" w:cstheme="minorHAnsi"/>
        </w:rPr>
        <w:t xml:space="preserve">a national development priority. </w:t>
      </w:r>
      <w:r w:rsidR="00A515CA" w:rsidRPr="00F018B6">
        <w:rPr>
          <w:rFonts w:cstheme="minorHAnsi"/>
          <w:i/>
          <w:iCs/>
        </w:rPr>
        <w:t>Health Sector Strategic Plan (HSSP) III (2009-2015)</w:t>
      </w:r>
      <w:r w:rsidR="00A515CA" w:rsidRPr="00F018B6">
        <w:rPr>
          <w:rFonts w:cstheme="minorHAnsi"/>
        </w:rPr>
        <w:t xml:space="preserve"> highlights the challenge of “affordability of medicines and medical supplies, especially to the poor and vulnerable groups” and accordingly, identifies the need for strategies to ensure access; strengthen control of safety; enhance harmonization and coordination of </w:t>
      </w:r>
      <w:r w:rsidR="00A515CA" w:rsidRPr="00F018B6">
        <w:rPr>
          <w:rFonts w:cstheme="minorHAnsi"/>
        </w:rPr>
        <w:lastRenderedPageBreak/>
        <w:t xml:space="preserve">procurement, stocking and distribution; as well as promote domestic production of pharmaceuticals. </w:t>
      </w:r>
    </w:p>
    <w:p w14:paraId="34D1D374" w14:textId="77777777" w:rsidR="00F018B6" w:rsidRPr="00F018B6" w:rsidRDefault="00F018B6" w:rsidP="00F018B6">
      <w:pPr>
        <w:pStyle w:val="ListParagraph"/>
        <w:tabs>
          <w:tab w:val="left" w:pos="540"/>
        </w:tabs>
        <w:ind w:left="540"/>
        <w:rPr>
          <w:rFonts w:cstheme="minorHAnsi"/>
          <w:szCs w:val="22"/>
        </w:rPr>
      </w:pPr>
    </w:p>
    <w:p w14:paraId="4119764E" w14:textId="39E35669" w:rsidR="00174273" w:rsidRDefault="00F018B6" w:rsidP="008C7C0F">
      <w:pPr>
        <w:pStyle w:val="ListParagraph"/>
        <w:numPr>
          <w:ilvl w:val="0"/>
          <w:numId w:val="6"/>
        </w:numPr>
        <w:tabs>
          <w:tab w:val="left" w:pos="540"/>
        </w:tabs>
        <w:ind w:left="540" w:hanging="540"/>
        <w:rPr>
          <w:rFonts w:cstheme="minorHAnsi"/>
          <w:szCs w:val="22"/>
        </w:rPr>
      </w:pPr>
      <w:r w:rsidRPr="00F018B6">
        <w:rPr>
          <w:rFonts w:cstheme="minorHAnsi"/>
          <w:szCs w:val="22"/>
          <w:lang w:val="en-GB" w:bidi="ar-SA"/>
        </w:rPr>
        <w:t xml:space="preserve">An integrated approach should take account of the links between a range of factors, including those that (i) </w:t>
      </w:r>
      <w:r w:rsidRPr="00F018B6">
        <w:rPr>
          <w:rFonts w:cstheme="minorHAnsi"/>
          <w:szCs w:val="22"/>
        </w:rPr>
        <w:t xml:space="preserve">facilitate the </w:t>
      </w:r>
      <w:r w:rsidRPr="00F018B6">
        <w:rPr>
          <w:rFonts w:cstheme="minorHAnsi"/>
          <w:b/>
          <w:szCs w:val="22"/>
        </w:rPr>
        <w:t>availability</w:t>
      </w:r>
      <w:r w:rsidRPr="00F018B6">
        <w:rPr>
          <w:rFonts w:cstheme="minorHAnsi"/>
          <w:szCs w:val="22"/>
        </w:rPr>
        <w:t xml:space="preserve"> of the needed health technologies (through promoting innovation); (ii) ensure </w:t>
      </w:r>
      <w:r w:rsidRPr="00F018B6">
        <w:rPr>
          <w:rFonts w:cstheme="minorHAnsi"/>
          <w:b/>
          <w:szCs w:val="22"/>
        </w:rPr>
        <w:t>affordability and accessibility</w:t>
      </w:r>
      <w:r w:rsidRPr="00F018B6">
        <w:rPr>
          <w:rFonts w:cstheme="minorHAnsi"/>
          <w:szCs w:val="22"/>
        </w:rPr>
        <w:t xml:space="preserve">; and (iii) influence processes for </w:t>
      </w:r>
      <w:r w:rsidRPr="00F018B6">
        <w:rPr>
          <w:rFonts w:cstheme="minorHAnsi"/>
          <w:b/>
          <w:szCs w:val="22"/>
        </w:rPr>
        <w:t>effective introduction and integration</w:t>
      </w:r>
      <w:r w:rsidRPr="00F018B6">
        <w:rPr>
          <w:rFonts w:cstheme="minorHAnsi"/>
          <w:szCs w:val="22"/>
        </w:rPr>
        <w:t xml:space="preserve"> of new technologies within the health system for use by target communities. </w:t>
      </w:r>
    </w:p>
    <w:p w14:paraId="6176C765" w14:textId="77777777" w:rsidR="00F018B6" w:rsidRPr="00F018B6" w:rsidRDefault="00F018B6" w:rsidP="00F018B6">
      <w:pPr>
        <w:pStyle w:val="ListParagraph"/>
        <w:tabs>
          <w:tab w:val="left" w:pos="540"/>
        </w:tabs>
        <w:ind w:left="540"/>
        <w:rPr>
          <w:rFonts w:cstheme="minorHAnsi"/>
          <w:szCs w:val="22"/>
        </w:rPr>
      </w:pPr>
    </w:p>
    <w:p w14:paraId="529386C8" w14:textId="5A59B61B" w:rsidR="00F018B6" w:rsidRDefault="00F018B6" w:rsidP="007824AD">
      <w:pPr>
        <w:pStyle w:val="ListParagraph"/>
        <w:numPr>
          <w:ilvl w:val="0"/>
          <w:numId w:val="6"/>
        </w:numPr>
        <w:tabs>
          <w:tab w:val="left" w:pos="540"/>
        </w:tabs>
        <w:ind w:left="540" w:hanging="540"/>
        <w:rPr>
          <w:rFonts w:cstheme="minorHAnsi"/>
          <w:szCs w:val="22"/>
        </w:rPr>
      </w:pPr>
      <w:r>
        <w:rPr>
          <w:rFonts w:cstheme="minorHAnsi"/>
          <w:szCs w:val="22"/>
        </w:rPr>
        <w:t>A</w:t>
      </w:r>
      <w:r w:rsidRPr="00F018B6">
        <w:rPr>
          <w:rFonts w:cstheme="minorHAnsi"/>
          <w:szCs w:val="22"/>
        </w:rPr>
        <w:t xml:space="preserve">vailability of </w:t>
      </w:r>
      <w:r w:rsidR="00174273" w:rsidRPr="00F018B6">
        <w:rPr>
          <w:rFonts w:cstheme="minorHAnsi"/>
          <w:szCs w:val="22"/>
        </w:rPr>
        <w:t>new health technologies</w:t>
      </w:r>
      <w:r w:rsidRPr="00F018B6">
        <w:rPr>
          <w:rFonts w:cstheme="minorHAnsi"/>
          <w:szCs w:val="22"/>
        </w:rPr>
        <w:t xml:space="preserve">: </w:t>
      </w:r>
      <w:r>
        <w:rPr>
          <w:rFonts w:cstheme="minorHAnsi"/>
          <w:szCs w:val="22"/>
        </w:rPr>
        <w:t>focus on product development</w:t>
      </w:r>
      <w:r w:rsidRPr="00F018B6">
        <w:rPr>
          <w:rFonts w:cstheme="minorHAnsi"/>
          <w:szCs w:val="22"/>
        </w:rPr>
        <w:t xml:space="preserve"> and clinical trials related to</w:t>
      </w:r>
      <w:r>
        <w:rPr>
          <w:rFonts w:cstheme="minorHAnsi"/>
          <w:szCs w:val="22"/>
        </w:rPr>
        <w:t xml:space="preserve"> priority diseases in Tanzania, with relevant information from PDPs, including GHIT Fund.</w:t>
      </w:r>
    </w:p>
    <w:p w14:paraId="2248B8D6" w14:textId="3FCE2C3B" w:rsidR="00174273" w:rsidRDefault="00F018B6" w:rsidP="00F018B6">
      <w:pPr>
        <w:pStyle w:val="ListParagraph"/>
        <w:tabs>
          <w:tab w:val="left" w:pos="540"/>
        </w:tabs>
        <w:ind w:left="540"/>
        <w:rPr>
          <w:rFonts w:cstheme="minorHAnsi"/>
          <w:szCs w:val="22"/>
        </w:rPr>
      </w:pPr>
      <w:r>
        <w:rPr>
          <w:rFonts w:cstheme="minorHAnsi"/>
          <w:szCs w:val="22"/>
        </w:rPr>
        <w:t>[</w:t>
      </w:r>
      <w:r w:rsidR="00906E6F">
        <w:rPr>
          <w:rFonts w:cstheme="minorHAnsi"/>
          <w:szCs w:val="22"/>
        </w:rPr>
        <w:t>INFORMATION REQUIRED</w:t>
      </w:r>
      <w:r w:rsidR="00906E6F">
        <w:rPr>
          <w:rFonts w:cstheme="minorHAnsi"/>
          <w:szCs w:val="22"/>
        </w:rPr>
        <w:t xml:space="preserve">: </w:t>
      </w:r>
      <w:r w:rsidR="00906E6F">
        <w:rPr>
          <w:rFonts w:cstheme="minorHAnsi"/>
          <w:szCs w:val="22"/>
        </w:rPr>
        <w:t xml:space="preserve"> relevant </w:t>
      </w:r>
      <w:r>
        <w:rPr>
          <w:rFonts w:cstheme="minorHAnsi"/>
          <w:szCs w:val="22"/>
        </w:rPr>
        <w:t>information</w:t>
      </w:r>
      <w:r w:rsidR="00906E6F">
        <w:rPr>
          <w:rFonts w:cstheme="minorHAnsi"/>
          <w:szCs w:val="22"/>
        </w:rPr>
        <w:t>/data</w:t>
      </w:r>
      <w:r>
        <w:rPr>
          <w:rFonts w:cstheme="minorHAnsi"/>
          <w:szCs w:val="22"/>
        </w:rPr>
        <w:t xml:space="preserve"> </w:t>
      </w:r>
      <w:r w:rsidR="00906E6F">
        <w:rPr>
          <w:rFonts w:cstheme="minorHAnsi"/>
          <w:szCs w:val="22"/>
        </w:rPr>
        <w:t xml:space="preserve">to be incorporated on new technologies/products; e.g., </w:t>
      </w:r>
      <w:r>
        <w:rPr>
          <w:rFonts w:cstheme="minorHAnsi"/>
          <w:szCs w:val="22"/>
        </w:rPr>
        <w:t xml:space="preserve">praziquantel pediatric information for schistosomiasis, clinical trial on BPaz regimen </w:t>
      </w:r>
      <w:r w:rsidR="00906E6F">
        <w:rPr>
          <w:rFonts w:cstheme="minorHAnsi"/>
          <w:szCs w:val="22"/>
        </w:rPr>
        <w:t>in Tanzania, etc.]</w:t>
      </w:r>
    </w:p>
    <w:p w14:paraId="63F17C84" w14:textId="77777777" w:rsidR="00F018B6" w:rsidRPr="00F018B6" w:rsidRDefault="00F018B6" w:rsidP="00F018B6">
      <w:pPr>
        <w:pStyle w:val="ListParagraph"/>
        <w:tabs>
          <w:tab w:val="left" w:pos="540"/>
        </w:tabs>
        <w:ind w:left="540"/>
        <w:rPr>
          <w:rFonts w:cstheme="minorHAnsi"/>
          <w:szCs w:val="22"/>
        </w:rPr>
      </w:pPr>
    </w:p>
    <w:p w14:paraId="24CC51F3" w14:textId="5B6DD275" w:rsidR="00F018B6" w:rsidRDefault="00174273" w:rsidP="00F018B6">
      <w:pPr>
        <w:pStyle w:val="ListParagraph"/>
        <w:numPr>
          <w:ilvl w:val="0"/>
          <w:numId w:val="6"/>
        </w:numPr>
        <w:tabs>
          <w:tab w:val="left" w:pos="540"/>
        </w:tabs>
        <w:ind w:left="540" w:hanging="540"/>
        <w:rPr>
          <w:rFonts w:cstheme="minorHAnsi"/>
          <w:szCs w:val="22"/>
        </w:rPr>
      </w:pPr>
      <w:r>
        <w:rPr>
          <w:rFonts w:cstheme="minorHAnsi"/>
        </w:rPr>
        <w:t>Country-s</w:t>
      </w:r>
      <w:r>
        <w:rPr>
          <w:rFonts w:cstheme="minorHAnsi"/>
          <w:szCs w:val="22"/>
        </w:rPr>
        <w:t>pecific information on challenges to addressing and eliminating TB, malaria and NTDs [E.g., for TB: multidrug resistance, treatment compliance and integration of surveillance system with health management system; for malaria: reporting delays and inaccurate data; etc.]</w:t>
      </w:r>
      <w:r w:rsidR="00F018B6">
        <w:rPr>
          <w:rFonts w:cstheme="minorHAnsi"/>
          <w:szCs w:val="22"/>
        </w:rPr>
        <w:t xml:space="preserve"> </w:t>
      </w:r>
      <w:r w:rsidR="00F018B6" w:rsidRPr="007451A7">
        <w:rPr>
          <w:rFonts w:cstheme="minorHAnsi"/>
          <w:szCs w:val="22"/>
        </w:rPr>
        <w:t>Hence, in Tanzania, the strategy has focus</w:t>
      </w:r>
      <w:r w:rsidR="00F018B6">
        <w:rPr>
          <w:rFonts w:cstheme="minorHAnsi"/>
          <w:szCs w:val="22"/>
        </w:rPr>
        <w:t xml:space="preserve">ed </w:t>
      </w:r>
      <w:r w:rsidR="00F018B6" w:rsidRPr="007451A7">
        <w:rPr>
          <w:rFonts w:cstheme="minorHAnsi"/>
          <w:szCs w:val="22"/>
        </w:rPr>
        <w:t xml:space="preserve">on crucial components for strengthening capacity to enable introduction of new technologies; namely, the systems/processes to ensure enabling policy and regulatory frameworks, active safety monitoring; and efficient pricing, supply, and delivery systems. </w:t>
      </w:r>
    </w:p>
    <w:p w14:paraId="6EDEFF7A" w14:textId="77777777" w:rsidR="005E2757" w:rsidRDefault="005E2757" w:rsidP="008A4618">
      <w:pPr>
        <w:pStyle w:val="ListParagraph"/>
        <w:tabs>
          <w:tab w:val="left" w:pos="540"/>
        </w:tabs>
        <w:ind w:left="540" w:hanging="540"/>
        <w:rPr>
          <w:rFonts w:cstheme="minorHAnsi"/>
          <w:szCs w:val="22"/>
        </w:rPr>
      </w:pPr>
    </w:p>
    <w:p w14:paraId="163D5747" w14:textId="77777777" w:rsidR="00800E65" w:rsidRDefault="00383E0B" w:rsidP="008A4618">
      <w:pPr>
        <w:pStyle w:val="ListParagraph"/>
        <w:numPr>
          <w:ilvl w:val="0"/>
          <w:numId w:val="6"/>
        </w:numPr>
        <w:tabs>
          <w:tab w:val="left" w:pos="540"/>
        </w:tabs>
        <w:ind w:left="540" w:hanging="540"/>
        <w:rPr>
          <w:rFonts w:cstheme="minorHAnsi"/>
          <w:szCs w:val="22"/>
        </w:rPr>
      </w:pPr>
      <w:r>
        <w:rPr>
          <w:rFonts w:cstheme="minorHAnsi"/>
          <w:szCs w:val="22"/>
        </w:rPr>
        <w:t>Text Box</w:t>
      </w:r>
      <w:r w:rsidR="00800E65">
        <w:rPr>
          <w:rFonts w:cstheme="minorHAnsi"/>
          <w:szCs w:val="22"/>
        </w:rPr>
        <w:t xml:space="preserve">/ Diagram:  Illustration of the relationship between GHIT Fund’s discovery and development work, with ADPs strategic pathways towards access and delivery. </w:t>
      </w:r>
    </w:p>
    <w:p w14:paraId="74982343" w14:textId="0CCF69E0" w:rsidR="00383E0B" w:rsidRPr="00800E65" w:rsidRDefault="00CE1F0E" w:rsidP="008A4618">
      <w:pPr>
        <w:pStyle w:val="ListParagraph"/>
        <w:tabs>
          <w:tab w:val="left" w:pos="540"/>
        </w:tabs>
        <w:ind w:left="540" w:hanging="540"/>
        <w:rPr>
          <w:rFonts w:cstheme="minorHAnsi"/>
          <w:szCs w:val="22"/>
        </w:rPr>
      </w:pPr>
      <w:r>
        <w:rPr>
          <w:rFonts w:cstheme="minorHAnsi"/>
          <w:szCs w:val="22"/>
        </w:rPr>
        <w:tab/>
      </w:r>
      <w:r w:rsidR="00383E0B">
        <w:rPr>
          <w:rFonts w:cstheme="minorHAnsi"/>
          <w:szCs w:val="22"/>
        </w:rPr>
        <w:t>[</w:t>
      </w:r>
      <w:r w:rsidR="00E2324A">
        <w:rPr>
          <w:rFonts w:cstheme="minorHAnsi"/>
          <w:szCs w:val="22"/>
        </w:rPr>
        <w:t>E.g., the ADP 6 Pathways “wheel” from ADP project brief can be adapted for this purpose.</w:t>
      </w:r>
      <w:r w:rsidR="00383E0B">
        <w:rPr>
          <w:rFonts w:cstheme="minorHAnsi"/>
          <w:szCs w:val="22"/>
        </w:rPr>
        <w:t>]</w:t>
      </w:r>
      <w:r w:rsidR="00800E65">
        <w:rPr>
          <w:rFonts w:cstheme="minorHAnsi"/>
          <w:szCs w:val="22"/>
        </w:rPr>
        <w:t xml:space="preserve"> </w:t>
      </w:r>
    </w:p>
    <w:p w14:paraId="0B8DB050" w14:textId="78D8E3A6" w:rsidR="004B68E3" w:rsidRDefault="004B68E3" w:rsidP="004B68E3">
      <w:pPr>
        <w:pStyle w:val="ListParagraph"/>
        <w:ind w:left="0"/>
        <w:rPr>
          <w:rFonts w:cstheme="minorHAnsi"/>
          <w:szCs w:val="22"/>
        </w:rPr>
      </w:pPr>
    </w:p>
    <w:p w14:paraId="3FF5BDE2" w14:textId="77777777" w:rsidR="00F018B6" w:rsidRDefault="00F018B6" w:rsidP="004B68E3">
      <w:pPr>
        <w:pStyle w:val="ListParagraph"/>
        <w:ind w:left="0"/>
        <w:rPr>
          <w:rFonts w:cstheme="minorHAnsi"/>
          <w:szCs w:val="22"/>
        </w:rPr>
      </w:pPr>
    </w:p>
    <w:p w14:paraId="11E8DB34" w14:textId="77777777" w:rsidR="00174273" w:rsidRDefault="004B68E3" w:rsidP="00174273">
      <w:pPr>
        <w:pStyle w:val="ListParagraph"/>
        <w:ind w:left="0"/>
        <w:rPr>
          <w:rFonts w:cstheme="minorHAnsi"/>
          <w:b/>
          <w:szCs w:val="22"/>
        </w:rPr>
      </w:pPr>
      <w:r w:rsidRPr="008A4618">
        <w:rPr>
          <w:rFonts w:cstheme="minorHAnsi"/>
          <w:b/>
          <w:szCs w:val="22"/>
        </w:rPr>
        <w:t>3.</w:t>
      </w:r>
      <w:r w:rsidRPr="008A4618">
        <w:rPr>
          <w:rFonts w:cstheme="minorHAnsi"/>
          <w:b/>
          <w:szCs w:val="22"/>
        </w:rPr>
        <w:tab/>
        <w:t>Pathways towards access and delivery</w:t>
      </w:r>
    </w:p>
    <w:p w14:paraId="59D22BAF" w14:textId="77777777" w:rsidR="00174273" w:rsidRDefault="00174273" w:rsidP="00174273">
      <w:pPr>
        <w:pStyle w:val="ListParagraph"/>
        <w:ind w:left="0"/>
        <w:rPr>
          <w:rFonts w:cstheme="minorHAnsi"/>
          <w:b/>
          <w:szCs w:val="22"/>
        </w:rPr>
      </w:pPr>
    </w:p>
    <w:p w14:paraId="506DF692" w14:textId="2D2E0713" w:rsidR="004B68E3" w:rsidRPr="00174273" w:rsidRDefault="004B68E3" w:rsidP="00174273">
      <w:pPr>
        <w:pStyle w:val="ListParagraph"/>
        <w:ind w:left="0"/>
        <w:rPr>
          <w:rFonts w:cstheme="minorHAnsi"/>
          <w:b/>
          <w:szCs w:val="22"/>
        </w:rPr>
      </w:pPr>
      <w:r>
        <w:rPr>
          <w:rFonts w:cstheme="minorHAnsi"/>
          <w:szCs w:val="22"/>
        </w:rPr>
        <w:t xml:space="preserve">This section describes the ADP’s technical assistance and policy support within the individual pathways that form the continuum of the health delivery system, and illustrates how each relates to the introduction of new health technologies. </w:t>
      </w:r>
    </w:p>
    <w:p w14:paraId="25990F84" w14:textId="77777777" w:rsidR="004B68E3" w:rsidRDefault="004B68E3" w:rsidP="004B68E3">
      <w:pPr>
        <w:pStyle w:val="ListParagraph"/>
        <w:ind w:left="1080"/>
        <w:rPr>
          <w:rFonts w:cstheme="minorHAnsi"/>
          <w:szCs w:val="22"/>
        </w:rPr>
      </w:pPr>
    </w:p>
    <w:p w14:paraId="327F8DC8" w14:textId="77777777" w:rsidR="00906E6F" w:rsidRDefault="0098680B" w:rsidP="00906E6F">
      <w:pPr>
        <w:pStyle w:val="ListParagraph"/>
        <w:numPr>
          <w:ilvl w:val="0"/>
          <w:numId w:val="6"/>
        </w:numPr>
        <w:tabs>
          <w:tab w:val="left" w:pos="540"/>
        </w:tabs>
        <w:ind w:left="450" w:hanging="450"/>
        <w:rPr>
          <w:rFonts w:cstheme="minorHAnsi"/>
          <w:szCs w:val="22"/>
        </w:rPr>
      </w:pPr>
      <w:r w:rsidRPr="007451A7">
        <w:rPr>
          <w:rFonts w:cstheme="minorHAnsi"/>
          <w:szCs w:val="22"/>
        </w:rPr>
        <w:t>AU Model Law on Medical Product</w:t>
      </w:r>
      <w:r w:rsidR="004B68E3">
        <w:rPr>
          <w:rFonts w:cstheme="minorHAnsi"/>
          <w:szCs w:val="22"/>
        </w:rPr>
        <w:t>s Regulation and Harmonization:</w:t>
      </w:r>
      <w:r w:rsidR="00C85C49">
        <w:rPr>
          <w:rFonts w:cstheme="minorHAnsi"/>
          <w:szCs w:val="22"/>
        </w:rPr>
        <w:t xml:space="preserve"> consolidation of best practices and streamlining of regulatory requirements to facilitate efficient regulation and marketing approval of new health technologies. </w:t>
      </w:r>
    </w:p>
    <w:p w14:paraId="0F5C305D" w14:textId="77777777" w:rsidR="00906E6F" w:rsidRDefault="00906E6F" w:rsidP="00906E6F">
      <w:pPr>
        <w:pStyle w:val="ListParagraph"/>
        <w:tabs>
          <w:tab w:val="left" w:pos="540"/>
        </w:tabs>
        <w:ind w:left="450" w:hanging="450"/>
        <w:rPr>
          <w:rFonts w:cstheme="minorHAnsi"/>
          <w:szCs w:val="22"/>
        </w:rPr>
      </w:pPr>
      <w:r>
        <w:rPr>
          <w:rFonts w:cstheme="minorHAnsi"/>
          <w:szCs w:val="22"/>
        </w:rPr>
        <w:tab/>
      </w:r>
    </w:p>
    <w:p w14:paraId="7BF4F193" w14:textId="59A1E229" w:rsidR="007451A7" w:rsidRDefault="00906E6F" w:rsidP="00906E6F">
      <w:pPr>
        <w:pStyle w:val="ListParagraph"/>
        <w:tabs>
          <w:tab w:val="left" w:pos="540"/>
        </w:tabs>
        <w:ind w:left="450" w:hanging="450"/>
        <w:rPr>
          <w:rFonts w:cstheme="minorHAnsi"/>
          <w:szCs w:val="22"/>
        </w:rPr>
      </w:pPr>
      <w:r>
        <w:rPr>
          <w:rFonts w:cstheme="minorHAnsi"/>
          <w:szCs w:val="22"/>
        </w:rPr>
        <w:tab/>
      </w:r>
      <w:r w:rsidR="00383E0B">
        <w:rPr>
          <w:rFonts w:cstheme="minorHAnsi"/>
          <w:szCs w:val="22"/>
        </w:rPr>
        <w:t>[</w:t>
      </w:r>
      <w:r>
        <w:rPr>
          <w:rFonts w:cstheme="minorHAnsi"/>
          <w:szCs w:val="22"/>
        </w:rPr>
        <w:t xml:space="preserve">INFORMATION REQUIRED: </w:t>
      </w:r>
      <w:r w:rsidR="00383E0B">
        <w:rPr>
          <w:rFonts w:cstheme="minorHAnsi"/>
          <w:szCs w:val="22"/>
        </w:rPr>
        <w:t>Information on new technologies</w:t>
      </w:r>
      <w:r>
        <w:rPr>
          <w:rFonts w:cstheme="minorHAnsi"/>
          <w:szCs w:val="22"/>
        </w:rPr>
        <w:t>/products</w:t>
      </w:r>
      <w:r w:rsidR="00383E0B">
        <w:rPr>
          <w:rFonts w:cstheme="minorHAnsi"/>
          <w:szCs w:val="22"/>
        </w:rPr>
        <w:t xml:space="preserve"> to go on clinical trials or to be submitted for ma</w:t>
      </w:r>
      <w:r>
        <w:rPr>
          <w:rFonts w:cstheme="minorHAnsi"/>
          <w:szCs w:val="22"/>
        </w:rPr>
        <w:t>rketing approval, including data on clinical trials funded/supported under GHIT Fund</w:t>
      </w:r>
      <w:r w:rsidR="00383E0B">
        <w:rPr>
          <w:rFonts w:cstheme="minorHAnsi"/>
          <w:szCs w:val="22"/>
        </w:rPr>
        <w:t>]</w:t>
      </w:r>
    </w:p>
    <w:p w14:paraId="7EE47E33" w14:textId="77777777" w:rsidR="004B68E3" w:rsidRDefault="004B68E3" w:rsidP="00906E6F">
      <w:pPr>
        <w:pStyle w:val="ListParagraph"/>
        <w:tabs>
          <w:tab w:val="left" w:pos="540"/>
        </w:tabs>
        <w:ind w:left="450" w:hanging="450"/>
        <w:rPr>
          <w:rFonts w:cstheme="minorHAnsi"/>
          <w:szCs w:val="22"/>
        </w:rPr>
      </w:pPr>
    </w:p>
    <w:p w14:paraId="6708D2FE" w14:textId="77777777" w:rsidR="00906E6F" w:rsidRDefault="004B68E3" w:rsidP="00906E6F">
      <w:pPr>
        <w:pStyle w:val="ListParagraph"/>
        <w:numPr>
          <w:ilvl w:val="0"/>
          <w:numId w:val="6"/>
        </w:numPr>
        <w:tabs>
          <w:tab w:val="left" w:pos="540"/>
        </w:tabs>
        <w:ind w:left="450" w:hanging="450"/>
        <w:rPr>
          <w:rFonts w:cstheme="minorHAnsi"/>
          <w:szCs w:val="22"/>
        </w:rPr>
      </w:pPr>
      <w:r w:rsidRPr="00383E0B">
        <w:rPr>
          <w:rFonts w:cstheme="minorHAnsi"/>
          <w:szCs w:val="22"/>
        </w:rPr>
        <w:t>N</w:t>
      </w:r>
      <w:r w:rsidR="0098680B" w:rsidRPr="00383E0B">
        <w:rPr>
          <w:rFonts w:cstheme="minorHAnsi"/>
          <w:szCs w:val="22"/>
        </w:rPr>
        <w:t>ational</w:t>
      </w:r>
      <w:r w:rsidR="007451A7" w:rsidRPr="00383E0B">
        <w:rPr>
          <w:rFonts w:cstheme="minorHAnsi"/>
          <w:szCs w:val="22"/>
        </w:rPr>
        <w:t xml:space="preserve"> implementation research agenda: </w:t>
      </w:r>
      <w:r w:rsidR="00C85C49" w:rsidRPr="00383E0B">
        <w:rPr>
          <w:rFonts w:cstheme="minorHAnsi"/>
          <w:szCs w:val="22"/>
        </w:rPr>
        <w:t xml:space="preserve">while </w:t>
      </w:r>
      <w:r w:rsidR="007451A7" w:rsidRPr="00383E0B">
        <w:rPr>
          <w:rFonts w:cstheme="minorHAnsi"/>
          <w:szCs w:val="22"/>
        </w:rPr>
        <w:t xml:space="preserve">the role of implementation research in health </w:t>
      </w:r>
      <w:r w:rsidR="007451A7" w:rsidRPr="00383E0B">
        <w:rPr>
          <w:rFonts w:cstheme="minorHAnsi"/>
        </w:rPr>
        <w:t>is to pinpoint</w:t>
      </w:r>
      <w:r w:rsidR="007451A7" w:rsidRPr="00383E0B">
        <w:rPr>
          <w:rFonts w:cstheme="minorHAnsi"/>
          <w:szCs w:val="22"/>
        </w:rPr>
        <w:t xml:space="preserve"> country- and community-</w:t>
      </w:r>
      <w:r w:rsidR="00C85C49" w:rsidRPr="00383E0B">
        <w:rPr>
          <w:rFonts w:cstheme="minorHAnsi"/>
          <w:szCs w:val="22"/>
        </w:rPr>
        <w:t xml:space="preserve">specific issues to be addressed, a </w:t>
      </w:r>
      <w:r w:rsidR="007451A7" w:rsidRPr="00383E0B">
        <w:rPr>
          <w:rFonts w:cstheme="minorHAnsi"/>
          <w:szCs w:val="22"/>
        </w:rPr>
        <w:t xml:space="preserve">national agenda for health systems research </w:t>
      </w:r>
      <w:r w:rsidR="00C85C49" w:rsidRPr="00383E0B">
        <w:rPr>
          <w:rFonts w:cstheme="minorHAnsi"/>
          <w:szCs w:val="22"/>
        </w:rPr>
        <w:t xml:space="preserve">will set priorities in </w:t>
      </w:r>
      <w:r w:rsidR="007451A7" w:rsidRPr="00383E0B">
        <w:rPr>
          <w:rFonts w:cstheme="minorHAnsi"/>
          <w:szCs w:val="22"/>
        </w:rPr>
        <w:t>address</w:t>
      </w:r>
      <w:r w:rsidR="00C85C49" w:rsidRPr="00383E0B">
        <w:rPr>
          <w:rFonts w:cstheme="minorHAnsi"/>
          <w:szCs w:val="22"/>
        </w:rPr>
        <w:t>ing</w:t>
      </w:r>
      <w:r w:rsidR="007451A7" w:rsidRPr="00383E0B">
        <w:rPr>
          <w:rFonts w:cstheme="minorHAnsi"/>
          <w:szCs w:val="22"/>
        </w:rPr>
        <w:t xml:space="preserve"> the major impediments, gaps and bottlenecks in the delivery and use of health technologies in the country.</w:t>
      </w:r>
      <w:r w:rsidR="00C85C49" w:rsidRPr="00383E0B">
        <w:rPr>
          <w:rFonts w:cstheme="minorHAnsi"/>
          <w:szCs w:val="22"/>
        </w:rPr>
        <w:t xml:space="preserve"> Spearheaded by the National Institute for Medical Research (NIMR), t</w:t>
      </w:r>
      <w:r w:rsidR="007451A7" w:rsidRPr="00383E0B">
        <w:rPr>
          <w:rFonts w:cstheme="minorHAnsi"/>
          <w:szCs w:val="22"/>
        </w:rPr>
        <w:t>he “national agenda for health system research for tuberculosis, malaria and neglected tropical diseases”</w:t>
      </w:r>
      <w:r w:rsidR="007451A7" w:rsidRPr="00383E0B">
        <w:rPr>
          <w:rFonts w:cstheme="minorHAnsi"/>
        </w:rPr>
        <w:t xml:space="preserve"> </w:t>
      </w:r>
      <w:r w:rsidR="00C85C49" w:rsidRPr="00383E0B">
        <w:rPr>
          <w:rFonts w:cstheme="minorHAnsi"/>
        </w:rPr>
        <w:t xml:space="preserve">has identified priority research issues </w:t>
      </w:r>
      <w:r w:rsidR="007451A7" w:rsidRPr="00383E0B">
        <w:rPr>
          <w:rFonts w:cstheme="minorHAnsi"/>
          <w:szCs w:val="22"/>
        </w:rPr>
        <w:t xml:space="preserve">for </w:t>
      </w:r>
      <w:r w:rsidR="00C85C49" w:rsidRPr="00383E0B">
        <w:rPr>
          <w:rFonts w:cstheme="minorHAnsi"/>
          <w:szCs w:val="22"/>
        </w:rPr>
        <w:t xml:space="preserve">TB and leprosy, malaria </w:t>
      </w:r>
      <w:r w:rsidR="007451A7" w:rsidRPr="00383E0B">
        <w:rPr>
          <w:rFonts w:cstheme="minorHAnsi"/>
          <w:szCs w:val="22"/>
        </w:rPr>
        <w:t>a</w:t>
      </w:r>
      <w:r w:rsidR="00C85C49" w:rsidRPr="00383E0B">
        <w:rPr>
          <w:rFonts w:cstheme="minorHAnsi"/>
          <w:szCs w:val="22"/>
        </w:rPr>
        <w:t>nd neglected tropical diseases.</w:t>
      </w:r>
      <w:r w:rsidR="00383E0B">
        <w:rPr>
          <w:rFonts w:cstheme="minorHAnsi"/>
          <w:szCs w:val="22"/>
        </w:rPr>
        <w:t xml:space="preserve"> </w:t>
      </w:r>
    </w:p>
    <w:p w14:paraId="48C28769" w14:textId="77777777" w:rsidR="00906E6F" w:rsidRDefault="00906E6F" w:rsidP="00906E6F">
      <w:pPr>
        <w:pStyle w:val="ListParagraph"/>
        <w:tabs>
          <w:tab w:val="left" w:pos="540"/>
        </w:tabs>
        <w:ind w:left="450" w:hanging="450"/>
        <w:rPr>
          <w:rFonts w:cstheme="minorHAnsi"/>
          <w:szCs w:val="22"/>
        </w:rPr>
      </w:pPr>
      <w:r>
        <w:rPr>
          <w:rFonts w:cstheme="minorHAnsi"/>
          <w:szCs w:val="22"/>
        </w:rPr>
        <w:tab/>
      </w:r>
    </w:p>
    <w:p w14:paraId="1ECA56A7" w14:textId="2BEB6045" w:rsidR="00C85C49" w:rsidRDefault="00906E6F" w:rsidP="00906E6F">
      <w:pPr>
        <w:pStyle w:val="ListParagraph"/>
        <w:tabs>
          <w:tab w:val="left" w:pos="540"/>
        </w:tabs>
        <w:ind w:left="450" w:hanging="450"/>
        <w:rPr>
          <w:rFonts w:cstheme="minorHAnsi"/>
          <w:szCs w:val="22"/>
        </w:rPr>
      </w:pPr>
      <w:r>
        <w:rPr>
          <w:rFonts w:cstheme="minorHAnsi"/>
          <w:szCs w:val="22"/>
        </w:rPr>
        <w:tab/>
      </w:r>
      <w:r w:rsidR="00383E0B">
        <w:rPr>
          <w:rFonts w:cstheme="minorHAnsi"/>
          <w:szCs w:val="22"/>
        </w:rPr>
        <w:t>[</w:t>
      </w:r>
      <w:r>
        <w:rPr>
          <w:rFonts w:cstheme="minorHAnsi"/>
          <w:szCs w:val="22"/>
        </w:rPr>
        <w:t xml:space="preserve">INFORMATION REQUIRED: </w:t>
      </w:r>
      <w:r w:rsidR="00383E0B">
        <w:rPr>
          <w:rFonts w:cstheme="minorHAnsi"/>
          <w:szCs w:val="22"/>
        </w:rPr>
        <w:t xml:space="preserve">Information needed on new technologies to be introduced, and identifying </w:t>
      </w:r>
      <w:r w:rsidR="00383E0B" w:rsidRPr="00383E0B">
        <w:rPr>
          <w:rFonts w:cstheme="minorHAnsi"/>
          <w:szCs w:val="22"/>
        </w:rPr>
        <w:t xml:space="preserve">the </w:t>
      </w:r>
      <w:r w:rsidR="00383E0B">
        <w:rPr>
          <w:rFonts w:cstheme="minorHAnsi"/>
          <w:szCs w:val="22"/>
        </w:rPr>
        <w:t>IR issues/questions related to them.]</w:t>
      </w:r>
    </w:p>
    <w:p w14:paraId="536AFC57" w14:textId="77777777" w:rsidR="00383E0B" w:rsidRPr="00383E0B" w:rsidRDefault="00383E0B" w:rsidP="00906E6F">
      <w:pPr>
        <w:pStyle w:val="ListParagraph"/>
        <w:tabs>
          <w:tab w:val="left" w:pos="540"/>
        </w:tabs>
        <w:ind w:left="450" w:hanging="450"/>
        <w:rPr>
          <w:rFonts w:cstheme="minorHAnsi"/>
          <w:szCs w:val="22"/>
        </w:rPr>
      </w:pPr>
    </w:p>
    <w:p w14:paraId="7FD90104" w14:textId="77777777" w:rsidR="00906E6F" w:rsidRDefault="004B68E3" w:rsidP="00906E6F">
      <w:pPr>
        <w:pStyle w:val="ListParagraph"/>
        <w:numPr>
          <w:ilvl w:val="0"/>
          <w:numId w:val="6"/>
        </w:numPr>
        <w:tabs>
          <w:tab w:val="left" w:pos="540"/>
        </w:tabs>
        <w:ind w:left="450" w:hanging="450"/>
        <w:rPr>
          <w:rFonts w:cstheme="minorHAnsi"/>
          <w:szCs w:val="22"/>
        </w:rPr>
      </w:pPr>
      <w:r w:rsidRPr="00383E0B">
        <w:rPr>
          <w:rFonts w:cstheme="minorHAnsi"/>
          <w:szCs w:val="22"/>
        </w:rPr>
        <w:t>S</w:t>
      </w:r>
      <w:r w:rsidR="0098680B" w:rsidRPr="00383E0B">
        <w:rPr>
          <w:rFonts w:cstheme="minorHAnsi"/>
          <w:szCs w:val="22"/>
        </w:rPr>
        <w:t>afety monitoring and pharmacovigilance systems</w:t>
      </w:r>
      <w:r w:rsidR="007451A7" w:rsidRPr="00383E0B">
        <w:rPr>
          <w:rFonts w:cstheme="minorHAnsi"/>
          <w:szCs w:val="22"/>
        </w:rPr>
        <w:t>: w</w:t>
      </w:r>
      <w:r w:rsidR="004A0A52" w:rsidRPr="00383E0B">
        <w:rPr>
          <w:rFonts w:cstheme="minorHAnsi"/>
          <w:szCs w:val="22"/>
        </w:rPr>
        <w:t>ith the introduction of new health technologies, corollary surveillance and safety monitoring systems</w:t>
      </w:r>
      <w:r w:rsidR="00432ADD" w:rsidRPr="00383E0B">
        <w:rPr>
          <w:rFonts w:cstheme="minorHAnsi"/>
        </w:rPr>
        <w:t xml:space="preserve"> are needed</w:t>
      </w:r>
      <w:r w:rsidR="004A0A52" w:rsidRPr="00383E0B">
        <w:rPr>
          <w:rFonts w:cstheme="minorHAnsi"/>
          <w:szCs w:val="22"/>
        </w:rPr>
        <w:t>.</w:t>
      </w:r>
      <w:r w:rsidR="00C85C49" w:rsidRPr="00383E0B">
        <w:rPr>
          <w:rFonts w:cstheme="minorHAnsi"/>
          <w:szCs w:val="22"/>
        </w:rPr>
        <w:t xml:space="preserve"> Focus has been </w:t>
      </w:r>
      <w:r w:rsidR="004A0A52" w:rsidRPr="00383E0B">
        <w:rPr>
          <w:rFonts w:cstheme="minorHAnsi"/>
          <w:szCs w:val="22"/>
        </w:rPr>
        <w:t xml:space="preserve">on </w:t>
      </w:r>
      <w:r w:rsidR="00C85C49" w:rsidRPr="00383E0B">
        <w:rPr>
          <w:rFonts w:cstheme="minorHAnsi"/>
          <w:szCs w:val="22"/>
        </w:rPr>
        <w:t>the</w:t>
      </w:r>
      <w:r w:rsidR="004A0A52" w:rsidRPr="00383E0B">
        <w:rPr>
          <w:rFonts w:cstheme="minorHAnsi"/>
          <w:szCs w:val="22"/>
        </w:rPr>
        <w:t xml:space="preserve"> </w:t>
      </w:r>
      <w:r w:rsidR="00C85C49" w:rsidRPr="00383E0B">
        <w:rPr>
          <w:rFonts w:cstheme="minorHAnsi"/>
          <w:szCs w:val="22"/>
        </w:rPr>
        <w:t>increasing capacity of Tanzania Food and Drug Administration to respond</w:t>
      </w:r>
      <w:r w:rsidR="004A0A52" w:rsidRPr="00383E0B">
        <w:rPr>
          <w:rFonts w:cstheme="minorHAnsi"/>
          <w:szCs w:val="22"/>
        </w:rPr>
        <w:t xml:space="preserve"> to safety issues of newly introduced health technologies</w:t>
      </w:r>
      <w:r w:rsidR="00432ADD" w:rsidRPr="00383E0B">
        <w:rPr>
          <w:rFonts w:cstheme="minorHAnsi"/>
        </w:rPr>
        <w:t xml:space="preserve">, </w:t>
      </w:r>
      <w:r w:rsidR="004A0A52" w:rsidRPr="00383E0B">
        <w:rPr>
          <w:rFonts w:cstheme="minorHAnsi"/>
          <w:szCs w:val="22"/>
        </w:rPr>
        <w:t>through training on pharmacovigilance, as well as through active engagement within regional and global pharmacovigilance networks, including collaborations with WHO Collaborating Centres and the WHO EMP Safety and Vigilance Group</w:t>
      </w:r>
      <w:r w:rsidR="00383E0B">
        <w:rPr>
          <w:rFonts w:cstheme="minorHAnsi"/>
          <w:szCs w:val="22"/>
        </w:rPr>
        <w:t xml:space="preserve">. </w:t>
      </w:r>
    </w:p>
    <w:p w14:paraId="4B866A5C" w14:textId="77777777" w:rsidR="00906E6F" w:rsidRDefault="00906E6F" w:rsidP="00906E6F">
      <w:pPr>
        <w:pStyle w:val="ListParagraph"/>
        <w:tabs>
          <w:tab w:val="left" w:pos="540"/>
        </w:tabs>
        <w:ind w:left="450"/>
        <w:rPr>
          <w:rFonts w:cstheme="minorHAnsi"/>
          <w:szCs w:val="22"/>
        </w:rPr>
      </w:pPr>
    </w:p>
    <w:p w14:paraId="4A5F6DDF" w14:textId="06B2EDAA" w:rsidR="007451A7" w:rsidRPr="00383E0B" w:rsidRDefault="00383E0B" w:rsidP="00906E6F">
      <w:pPr>
        <w:pStyle w:val="ListParagraph"/>
        <w:tabs>
          <w:tab w:val="left" w:pos="540"/>
        </w:tabs>
        <w:ind w:left="450"/>
        <w:rPr>
          <w:rFonts w:cstheme="minorHAnsi"/>
          <w:szCs w:val="22"/>
        </w:rPr>
      </w:pPr>
      <w:r>
        <w:rPr>
          <w:rFonts w:cstheme="minorHAnsi"/>
          <w:szCs w:val="22"/>
        </w:rPr>
        <w:t>[</w:t>
      </w:r>
      <w:r w:rsidR="00906E6F">
        <w:rPr>
          <w:rFonts w:cstheme="minorHAnsi"/>
          <w:szCs w:val="22"/>
        </w:rPr>
        <w:t xml:space="preserve">INFORMATION REQUIRED: </w:t>
      </w:r>
      <w:r>
        <w:rPr>
          <w:rFonts w:cstheme="minorHAnsi"/>
          <w:szCs w:val="22"/>
        </w:rPr>
        <w:t>needed on new technologies to be introduced and specific PV issues for monitoring.]</w:t>
      </w:r>
    </w:p>
    <w:p w14:paraId="4A06DCCD" w14:textId="77777777" w:rsidR="004B68E3" w:rsidRDefault="004B68E3" w:rsidP="00906E6F">
      <w:pPr>
        <w:pStyle w:val="ListParagraph"/>
        <w:tabs>
          <w:tab w:val="left" w:pos="540"/>
        </w:tabs>
        <w:ind w:left="450" w:hanging="450"/>
        <w:rPr>
          <w:rFonts w:cstheme="minorHAnsi"/>
          <w:szCs w:val="22"/>
        </w:rPr>
      </w:pPr>
    </w:p>
    <w:p w14:paraId="045187AF" w14:textId="35A0881A" w:rsidR="004A0A52" w:rsidRPr="00906E6F" w:rsidRDefault="00383E0B" w:rsidP="008F6068">
      <w:pPr>
        <w:pStyle w:val="ListParagraph"/>
        <w:numPr>
          <w:ilvl w:val="0"/>
          <w:numId w:val="6"/>
        </w:numPr>
        <w:tabs>
          <w:tab w:val="left" w:pos="540"/>
        </w:tabs>
        <w:ind w:left="450" w:hanging="450"/>
        <w:rPr>
          <w:rFonts w:cstheme="minorHAnsi"/>
          <w:szCs w:val="22"/>
        </w:rPr>
      </w:pPr>
      <w:r w:rsidRPr="00906E6F">
        <w:rPr>
          <w:rFonts w:cstheme="minorHAnsi"/>
          <w:szCs w:val="22"/>
        </w:rPr>
        <w:t>S</w:t>
      </w:r>
      <w:r w:rsidR="004A0A52" w:rsidRPr="00906E6F">
        <w:rPr>
          <w:rFonts w:cstheme="minorHAnsi"/>
          <w:szCs w:val="22"/>
        </w:rPr>
        <w:t>upply chain and delivery systems</w:t>
      </w:r>
      <w:r w:rsidRPr="00906E6F">
        <w:rPr>
          <w:rFonts w:cstheme="minorHAnsi"/>
          <w:szCs w:val="22"/>
        </w:rPr>
        <w:t xml:space="preserve">: as </w:t>
      </w:r>
      <w:r w:rsidR="004A0A52" w:rsidRPr="00906E6F">
        <w:rPr>
          <w:rFonts w:cstheme="minorHAnsi"/>
          <w:szCs w:val="22"/>
        </w:rPr>
        <w:t>new health technologies come onto the market, more choices are created and additional decisions need to be made across</w:t>
      </w:r>
      <w:r w:rsidR="00573E77" w:rsidRPr="00906E6F">
        <w:rPr>
          <w:rFonts w:cstheme="minorHAnsi"/>
          <w:szCs w:val="22"/>
        </w:rPr>
        <w:t xml:space="preserve"> the supply chain disciplines of </w:t>
      </w:r>
      <w:r w:rsidR="004A0A52" w:rsidRPr="00906E6F">
        <w:rPr>
          <w:rFonts w:cstheme="minorHAnsi"/>
          <w:szCs w:val="22"/>
        </w:rPr>
        <w:t xml:space="preserve">planning, procurement and distribution. </w:t>
      </w:r>
      <w:r w:rsidR="00573E77" w:rsidRPr="00906E6F">
        <w:rPr>
          <w:rFonts w:cstheme="minorHAnsi"/>
          <w:szCs w:val="22"/>
        </w:rPr>
        <w:t>E</w:t>
      </w:r>
      <w:r w:rsidR="004A0A52" w:rsidRPr="00906E6F">
        <w:rPr>
          <w:rFonts w:cstheme="minorHAnsi"/>
          <w:szCs w:val="22"/>
        </w:rPr>
        <w:t>fforts</w:t>
      </w:r>
      <w:r w:rsidR="00573E77" w:rsidRPr="00906E6F">
        <w:rPr>
          <w:rFonts w:cstheme="minorHAnsi"/>
          <w:szCs w:val="22"/>
        </w:rPr>
        <w:t xml:space="preserve"> in Tanzania</w:t>
      </w:r>
      <w:r w:rsidR="004A0A52" w:rsidRPr="00906E6F">
        <w:rPr>
          <w:rFonts w:cstheme="minorHAnsi"/>
          <w:szCs w:val="22"/>
        </w:rPr>
        <w:t xml:space="preserve"> have focused on training and guidance materials</w:t>
      </w:r>
      <w:r w:rsidR="00573E77" w:rsidRPr="00906E6F">
        <w:rPr>
          <w:rFonts w:cstheme="minorHAnsi"/>
          <w:szCs w:val="22"/>
        </w:rPr>
        <w:t xml:space="preserve">, </w:t>
      </w:r>
      <w:r w:rsidR="00906E6F" w:rsidRPr="00906E6F">
        <w:rPr>
          <w:rFonts w:cstheme="minorHAnsi"/>
          <w:szCs w:val="22"/>
        </w:rPr>
        <w:t xml:space="preserve">particularly with respect to the mass drug administration for soil transmitted helminthes, schistosomiasis, lymphatic filariasis, onchocerciasis and trachoma. </w:t>
      </w:r>
      <w:r w:rsidR="00906E6F">
        <w:rPr>
          <w:rFonts w:cstheme="minorHAnsi"/>
          <w:szCs w:val="22"/>
        </w:rPr>
        <w:t xml:space="preserve">The aim is to </w:t>
      </w:r>
      <w:r w:rsidR="00573E77" w:rsidRPr="00906E6F">
        <w:rPr>
          <w:rFonts w:cstheme="minorHAnsi"/>
          <w:szCs w:val="22"/>
        </w:rPr>
        <w:t xml:space="preserve">reduce wastage and increase efficiency of supply chain management, across </w:t>
      </w:r>
      <w:r w:rsidR="004A0A52" w:rsidRPr="00906E6F">
        <w:rPr>
          <w:rFonts w:cstheme="minorHAnsi"/>
          <w:szCs w:val="22"/>
        </w:rPr>
        <w:t xml:space="preserve">key actors </w:t>
      </w:r>
      <w:r w:rsidR="00573E77" w:rsidRPr="00906E6F">
        <w:rPr>
          <w:rFonts w:cstheme="minorHAnsi"/>
          <w:szCs w:val="22"/>
        </w:rPr>
        <w:t xml:space="preserve">at the </w:t>
      </w:r>
      <w:r w:rsidR="004A0A52" w:rsidRPr="00906E6F">
        <w:rPr>
          <w:rFonts w:cstheme="minorHAnsi"/>
          <w:szCs w:val="22"/>
        </w:rPr>
        <w:t>central-level and health professionals from the distric</w:t>
      </w:r>
      <w:r w:rsidR="00573E77" w:rsidRPr="00906E6F">
        <w:rPr>
          <w:rFonts w:cstheme="minorHAnsi"/>
          <w:szCs w:val="22"/>
        </w:rPr>
        <w:t xml:space="preserve">t, facility and community level. </w:t>
      </w:r>
    </w:p>
    <w:p w14:paraId="12A18139" w14:textId="77777777" w:rsidR="00E2324A" w:rsidRDefault="00E2324A" w:rsidP="008A4618">
      <w:pPr>
        <w:rPr>
          <w:rFonts w:cstheme="minorHAnsi"/>
        </w:rPr>
      </w:pPr>
    </w:p>
    <w:p w14:paraId="3206378E" w14:textId="4D355782" w:rsidR="00906E6F" w:rsidRDefault="00A13F33" w:rsidP="00906E6F">
      <w:pPr>
        <w:rPr>
          <w:rFonts w:cstheme="minorHAnsi"/>
          <w:b/>
        </w:rPr>
      </w:pPr>
      <w:r w:rsidRPr="00906E6F">
        <w:rPr>
          <w:rFonts w:cstheme="minorHAnsi"/>
          <w:b/>
        </w:rPr>
        <w:t>4.</w:t>
      </w:r>
      <w:r w:rsidR="005E2757" w:rsidRPr="00906E6F">
        <w:rPr>
          <w:rFonts w:cstheme="minorHAnsi"/>
          <w:b/>
        </w:rPr>
        <w:tab/>
      </w:r>
      <w:r w:rsidRPr="00906E6F">
        <w:rPr>
          <w:rFonts w:cstheme="minorHAnsi"/>
          <w:b/>
        </w:rPr>
        <w:t>Conclusion</w:t>
      </w:r>
      <w:r w:rsidR="00906E6F">
        <w:rPr>
          <w:rFonts w:cstheme="minorHAnsi"/>
          <w:b/>
        </w:rPr>
        <w:t>s</w:t>
      </w:r>
      <w:r w:rsidRPr="00906E6F">
        <w:rPr>
          <w:rFonts w:cstheme="minorHAnsi"/>
          <w:b/>
        </w:rPr>
        <w:t xml:space="preserve"> </w:t>
      </w:r>
    </w:p>
    <w:p w14:paraId="6B6CEFB8" w14:textId="77777777" w:rsidR="00906E6F" w:rsidRDefault="00906E6F" w:rsidP="00906E6F">
      <w:pPr>
        <w:rPr>
          <w:rFonts w:cstheme="minorHAnsi"/>
          <w:b/>
        </w:rPr>
      </w:pPr>
    </w:p>
    <w:p w14:paraId="0A237E06" w14:textId="4C1753ED" w:rsidR="00A13F33" w:rsidRPr="00906E6F" w:rsidRDefault="00906E6F" w:rsidP="00906E6F">
      <w:pPr>
        <w:rPr>
          <w:rFonts w:cstheme="minorHAnsi"/>
          <w:b/>
        </w:rPr>
      </w:pPr>
      <w:r>
        <w:rPr>
          <w:rFonts w:cstheme="minorHAnsi"/>
        </w:rPr>
        <w:t>Final section to reiterate key messages on the necessary relationship between drug discovery and</w:t>
      </w:r>
      <w:r>
        <w:rPr>
          <w:rFonts w:cstheme="minorHAnsi"/>
        </w:rPr>
        <w:t xml:space="preserve"> </w:t>
      </w:r>
      <w:r w:rsidRPr="00A73980">
        <w:rPr>
          <w:rFonts w:cstheme="minorHAnsi"/>
        </w:rPr>
        <w:t xml:space="preserve">product development, with the strengthening of country-level capacities </w:t>
      </w:r>
      <w:r>
        <w:rPr>
          <w:rFonts w:cstheme="minorHAnsi"/>
        </w:rPr>
        <w:t xml:space="preserve">for efficient </w:t>
      </w:r>
      <w:r w:rsidRPr="00A73980">
        <w:rPr>
          <w:rFonts w:cstheme="minorHAnsi"/>
        </w:rPr>
        <w:t>delivery of health technologies</w:t>
      </w:r>
      <w:r>
        <w:rPr>
          <w:rFonts w:cstheme="minorHAnsi"/>
        </w:rPr>
        <w:t xml:space="preserve">, to facilitate </w:t>
      </w:r>
      <w:r>
        <w:rPr>
          <w:rFonts w:cs="Tahoma"/>
          <w:color w:val="000000"/>
        </w:rPr>
        <w:t xml:space="preserve">effective and efficient </w:t>
      </w:r>
      <w:r w:rsidR="00A13F33" w:rsidRPr="00906E6F">
        <w:rPr>
          <w:rFonts w:cs="Tahoma"/>
          <w:color w:val="000000"/>
        </w:rPr>
        <w:t>introduction of new health technologies.</w:t>
      </w:r>
    </w:p>
    <w:p w14:paraId="0EA65C83" w14:textId="77777777" w:rsidR="00432ADD" w:rsidRDefault="00432ADD" w:rsidP="008F4354">
      <w:pPr>
        <w:shd w:val="clear" w:color="auto" w:fill="FFFFFF"/>
        <w:rPr>
          <w:rFonts w:eastAsia="Times New Roman" w:cstheme="minorHAnsi"/>
          <w:color w:val="000000"/>
        </w:rPr>
      </w:pPr>
    </w:p>
    <w:p w14:paraId="1F37C723" w14:textId="77777777" w:rsidR="008F4354" w:rsidRPr="000012EC" w:rsidRDefault="008F4354" w:rsidP="008F4354">
      <w:pPr>
        <w:shd w:val="clear" w:color="auto" w:fill="FFFFFF"/>
        <w:rPr>
          <w:rFonts w:eastAsia="Times New Roman" w:cstheme="minorHAnsi"/>
          <w:color w:val="000000"/>
        </w:rPr>
      </w:pPr>
    </w:p>
    <w:p w14:paraId="39DF505F" w14:textId="77777777" w:rsidR="001447B8" w:rsidRPr="000012EC" w:rsidRDefault="001447B8" w:rsidP="008F4354">
      <w:pPr>
        <w:rPr>
          <w:rFonts w:cstheme="minorHAnsi"/>
        </w:rPr>
      </w:pPr>
      <w:bookmarkStart w:id="0" w:name="_GoBack"/>
      <w:bookmarkEnd w:id="0"/>
    </w:p>
    <w:sectPr w:rsidR="001447B8" w:rsidRPr="0000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E5003" w14:textId="77777777" w:rsidR="002757F5" w:rsidRDefault="002757F5" w:rsidP="004A0A52">
      <w:r>
        <w:separator/>
      </w:r>
    </w:p>
  </w:endnote>
  <w:endnote w:type="continuationSeparator" w:id="0">
    <w:p w14:paraId="123A0318" w14:textId="77777777" w:rsidR="002757F5" w:rsidRDefault="002757F5" w:rsidP="004A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Thin">
    <w:altName w:val="HelveticaNeueLT Std Th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GothicLTStd-Light">
    <w:panose1 w:val="00000000000000000000"/>
    <w:charset w:val="00"/>
    <w:family w:val="swiss"/>
    <w:notTrueType/>
    <w:pitch w:val="default"/>
    <w:sig w:usb0="00000003" w:usb1="00000000" w:usb2="00000000" w:usb3="00000000" w:csb0="00000001" w:csb1="00000000"/>
  </w:font>
  <w:font w:name="MyriadPro-Regular">
    <w:altName w:val="Times New Roman"/>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603D6" w14:textId="77777777" w:rsidR="002757F5" w:rsidRDefault="002757F5" w:rsidP="004A0A52">
      <w:r>
        <w:separator/>
      </w:r>
    </w:p>
  </w:footnote>
  <w:footnote w:type="continuationSeparator" w:id="0">
    <w:p w14:paraId="3D60B325" w14:textId="77777777" w:rsidR="002757F5" w:rsidRDefault="002757F5" w:rsidP="004A0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5B84"/>
    <w:multiLevelType w:val="hybridMultilevel"/>
    <w:tmpl w:val="1B72642A"/>
    <w:lvl w:ilvl="0" w:tplc="E5B292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C7E6B"/>
    <w:multiLevelType w:val="hybridMultilevel"/>
    <w:tmpl w:val="5A14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E2472"/>
    <w:multiLevelType w:val="hybridMultilevel"/>
    <w:tmpl w:val="BB02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45225"/>
    <w:multiLevelType w:val="hybridMultilevel"/>
    <w:tmpl w:val="50A8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93F8E"/>
    <w:multiLevelType w:val="hybridMultilevel"/>
    <w:tmpl w:val="E114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82301"/>
    <w:multiLevelType w:val="hybridMultilevel"/>
    <w:tmpl w:val="488E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F4BE4"/>
    <w:multiLevelType w:val="hybridMultilevel"/>
    <w:tmpl w:val="5EFE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B8"/>
    <w:rsid w:val="000012EC"/>
    <w:rsid w:val="000200CA"/>
    <w:rsid w:val="000858F6"/>
    <w:rsid w:val="000F3A4D"/>
    <w:rsid w:val="001447B8"/>
    <w:rsid w:val="00174273"/>
    <w:rsid w:val="00175F5E"/>
    <w:rsid w:val="001F4F93"/>
    <w:rsid w:val="00202356"/>
    <w:rsid w:val="00212EF6"/>
    <w:rsid w:val="0022751F"/>
    <w:rsid w:val="0023567F"/>
    <w:rsid w:val="002757F5"/>
    <w:rsid w:val="00295DF1"/>
    <w:rsid w:val="002B055F"/>
    <w:rsid w:val="002C09DC"/>
    <w:rsid w:val="00347B38"/>
    <w:rsid w:val="003650B7"/>
    <w:rsid w:val="00383E0B"/>
    <w:rsid w:val="003A6B76"/>
    <w:rsid w:val="004016AD"/>
    <w:rsid w:val="00432ADD"/>
    <w:rsid w:val="00432ED4"/>
    <w:rsid w:val="00441F08"/>
    <w:rsid w:val="00467C00"/>
    <w:rsid w:val="004816F4"/>
    <w:rsid w:val="00482BE1"/>
    <w:rsid w:val="004909BE"/>
    <w:rsid w:val="004A0A52"/>
    <w:rsid w:val="004B68E3"/>
    <w:rsid w:val="004C301F"/>
    <w:rsid w:val="00573E77"/>
    <w:rsid w:val="00593C83"/>
    <w:rsid w:val="00594EB8"/>
    <w:rsid w:val="00595466"/>
    <w:rsid w:val="005E2757"/>
    <w:rsid w:val="0062631C"/>
    <w:rsid w:val="00627C61"/>
    <w:rsid w:val="00641890"/>
    <w:rsid w:val="007021CA"/>
    <w:rsid w:val="007451A7"/>
    <w:rsid w:val="00795E6B"/>
    <w:rsid w:val="007C0C6F"/>
    <w:rsid w:val="007F4C05"/>
    <w:rsid w:val="00800E65"/>
    <w:rsid w:val="00806543"/>
    <w:rsid w:val="0082015F"/>
    <w:rsid w:val="00823007"/>
    <w:rsid w:val="008877EB"/>
    <w:rsid w:val="008A058E"/>
    <w:rsid w:val="008A4618"/>
    <w:rsid w:val="008A70A7"/>
    <w:rsid w:val="008D30D3"/>
    <w:rsid w:val="008F0292"/>
    <w:rsid w:val="008F4354"/>
    <w:rsid w:val="00906E6F"/>
    <w:rsid w:val="00975D54"/>
    <w:rsid w:val="0098680B"/>
    <w:rsid w:val="009B77FB"/>
    <w:rsid w:val="00A13F33"/>
    <w:rsid w:val="00A515CA"/>
    <w:rsid w:val="00A73980"/>
    <w:rsid w:val="00A861F1"/>
    <w:rsid w:val="00AA3B57"/>
    <w:rsid w:val="00B75250"/>
    <w:rsid w:val="00C30608"/>
    <w:rsid w:val="00C85C49"/>
    <w:rsid w:val="00CE1F0E"/>
    <w:rsid w:val="00D12B68"/>
    <w:rsid w:val="00D15CE6"/>
    <w:rsid w:val="00D418A1"/>
    <w:rsid w:val="00D700D9"/>
    <w:rsid w:val="00DB7920"/>
    <w:rsid w:val="00E145C5"/>
    <w:rsid w:val="00E2324A"/>
    <w:rsid w:val="00E25806"/>
    <w:rsid w:val="00EB78F8"/>
    <w:rsid w:val="00F018B6"/>
    <w:rsid w:val="00F16963"/>
    <w:rsid w:val="00F57E17"/>
    <w:rsid w:val="00F75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931C"/>
  <w15:docId w15:val="{B1A41037-13A7-4047-8D21-02A5DC5F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Normal"/>
    <w:link w:val="ListParagraphChar"/>
    <w:uiPriority w:val="34"/>
    <w:qFormat/>
    <w:rsid w:val="001447B8"/>
    <w:pPr>
      <w:spacing w:after="200" w:line="276" w:lineRule="auto"/>
      <w:ind w:left="720"/>
      <w:contextualSpacing/>
    </w:pPr>
    <w:rPr>
      <w:szCs w:val="28"/>
      <w:lang w:val="en-US" w:bidi="th-TH"/>
    </w:rPr>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basedOn w:val="DefaultParagraphFont"/>
    <w:link w:val="ListParagraph"/>
    <w:uiPriority w:val="34"/>
    <w:locked/>
    <w:rsid w:val="001447B8"/>
    <w:rPr>
      <w:szCs w:val="28"/>
      <w:lang w:bidi="th-TH"/>
    </w:rPr>
  </w:style>
  <w:style w:type="character" w:styleId="Hyperlink">
    <w:name w:val="Hyperlink"/>
    <w:basedOn w:val="DefaultParagraphFont"/>
    <w:uiPriority w:val="99"/>
    <w:unhideWhenUsed/>
    <w:rsid w:val="004A0A52"/>
    <w:rPr>
      <w:color w:val="0563C1" w:themeColor="hyperlink"/>
      <w:u w:val="single"/>
    </w:rPr>
  </w:style>
  <w:style w:type="character" w:styleId="EndnoteReference">
    <w:name w:val="endnote reference"/>
    <w:basedOn w:val="DefaultParagraphFont"/>
    <w:uiPriority w:val="99"/>
    <w:semiHidden/>
    <w:unhideWhenUsed/>
    <w:rsid w:val="004A0A52"/>
    <w:rPr>
      <w:vertAlign w:val="superscript"/>
    </w:rPr>
  </w:style>
  <w:style w:type="paragraph" w:customStyle="1" w:styleId="Default">
    <w:name w:val="Default"/>
    <w:rsid w:val="00C30608"/>
    <w:pPr>
      <w:autoSpaceDE w:val="0"/>
      <w:autoSpaceDN w:val="0"/>
      <w:adjustRightInd w:val="0"/>
    </w:pPr>
    <w:rPr>
      <w:rFonts w:ascii="HelveticaNeueLT Std Thin" w:hAnsi="HelveticaNeueLT Std Thin" w:cs="HelveticaNeueLT Std Thin"/>
      <w:color w:val="000000"/>
      <w:sz w:val="24"/>
      <w:szCs w:val="24"/>
    </w:rPr>
  </w:style>
  <w:style w:type="paragraph" w:styleId="BalloonText">
    <w:name w:val="Balloon Text"/>
    <w:basedOn w:val="Normal"/>
    <w:link w:val="BalloonTextChar"/>
    <w:uiPriority w:val="99"/>
    <w:semiHidden/>
    <w:unhideWhenUsed/>
    <w:rsid w:val="008877EB"/>
    <w:rPr>
      <w:rFonts w:ascii="Arial" w:hAnsi="Arial" w:cs="Arial"/>
      <w:sz w:val="18"/>
      <w:szCs w:val="18"/>
    </w:rPr>
  </w:style>
  <w:style w:type="character" w:customStyle="1" w:styleId="BalloonTextChar">
    <w:name w:val="Balloon Text Char"/>
    <w:basedOn w:val="DefaultParagraphFont"/>
    <w:link w:val="BalloonText"/>
    <w:uiPriority w:val="99"/>
    <w:semiHidden/>
    <w:rsid w:val="008877EB"/>
    <w:rPr>
      <w:rFonts w:ascii="Arial" w:hAnsi="Arial" w:cs="Arial"/>
      <w:sz w:val="18"/>
      <w:szCs w:val="18"/>
      <w:lang w:val="en-GB"/>
    </w:rPr>
  </w:style>
  <w:style w:type="character" w:styleId="CommentReference">
    <w:name w:val="annotation reference"/>
    <w:basedOn w:val="DefaultParagraphFont"/>
    <w:uiPriority w:val="99"/>
    <w:semiHidden/>
    <w:unhideWhenUsed/>
    <w:rsid w:val="00202356"/>
    <w:rPr>
      <w:sz w:val="16"/>
      <w:szCs w:val="16"/>
    </w:rPr>
  </w:style>
  <w:style w:type="paragraph" w:styleId="CommentText">
    <w:name w:val="annotation text"/>
    <w:basedOn w:val="Normal"/>
    <w:link w:val="CommentTextChar"/>
    <w:uiPriority w:val="99"/>
    <w:unhideWhenUsed/>
    <w:rsid w:val="00202356"/>
    <w:rPr>
      <w:sz w:val="20"/>
      <w:szCs w:val="20"/>
    </w:rPr>
  </w:style>
  <w:style w:type="character" w:customStyle="1" w:styleId="CommentTextChar">
    <w:name w:val="Comment Text Char"/>
    <w:basedOn w:val="DefaultParagraphFont"/>
    <w:link w:val="CommentText"/>
    <w:uiPriority w:val="99"/>
    <w:rsid w:val="00202356"/>
    <w:rPr>
      <w:sz w:val="20"/>
      <w:szCs w:val="20"/>
      <w:lang w:val="en-GB"/>
    </w:rPr>
  </w:style>
  <w:style w:type="paragraph" w:styleId="CommentSubject">
    <w:name w:val="annotation subject"/>
    <w:basedOn w:val="CommentText"/>
    <w:next w:val="CommentText"/>
    <w:link w:val="CommentSubjectChar"/>
    <w:uiPriority w:val="99"/>
    <w:semiHidden/>
    <w:unhideWhenUsed/>
    <w:rsid w:val="00202356"/>
    <w:rPr>
      <w:b/>
      <w:bCs/>
    </w:rPr>
  </w:style>
  <w:style w:type="character" w:customStyle="1" w:styleId="CommentSubjectChar">
    <w:name w:val="Comment Subject Char"/>
    <w:basedOn w:val="CommentTextChar"/>
    <w:link w:val="CommentSubject"/>
    <w:uiPriority w:val="99"/>
    <w:semiHidden/>
    <w:rsid w:val="00202356"/>
    <w:rPr>
      <w:b/>
      <w:bCs/>
      <w:sz w:val="20"/>
      <w:szCs w:val="20"/>
      <w:lang w:val="en-GB"/>
    </w:rPr>
  </w:style>
  <w:style w:type="character" w:styleId="FootnoteReference">
    <w:name w:val="footnote reference"/>
    <w:basedOn w:val="DefaultParagraphFont"/>
    <w:uiPriority w:val="99"/>
    <w:semiHidden/>
    <w:unhideWhenUsed/>
    <w:rsid w:val="00202356"/>
    <w:rPr>
      <w:vertAlign w:val="superscript"/>
    </w:rPr>
  </w:style>
  <w:style w:type="character" w:styleId="FollowedHyperlink">
    <w:name w:val="FollowedHyperlink"/>
    <w:basedOn w:val="DefaultParagraphFont"/>
    <w:uiPriority w:val="99"/>
    <w:semiHidden/>
    <w:unhideWhenUsed/>
    <w:rsid w:val="00DB7920"/>
    <w:rPr>
      <w:color w:val="954F72" w:themeColor="followedHyperlink"/>
      <w:u w:val="single"/>
    </w:rPr>
  </w:style>
  <w:style w:type="paragraph" w:styleId="Revision">
    <w:name w:val="Revision"/>
    <w:hidden/>
    <w:uiPriority w:val="99"/>
    <w:semiHidden/>
    <w:rsid w:val="008A058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785552">
      <w:bodyDiv w:val="1"/>
      <w:marLeft w:val="0"/>
      <w:marRight w:val="0"/>
      <w:marTop w:val="0"/>
      <w:marBottom w:val="0"/>
      <w:divBdr>
        <w:top w:val="none" w:sz="0" w:space="0" w:color="auto"/>
        <w:left w:val="none" w:sz="0" w:space="0" w:color="auto"/>
        <w:bottom w:val="none" w:sz="0" w:space="0" w:color="auto"/>
        <w:right w:val="none" w:sz="0" w:space="0" w:color="auto"/>
      </w:divBdr>
    </w:div>
    <w:div w:id="127108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80DC9-0B05-44C0-94F5-D1A58457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Oh</dc:creator>
  <cp:lastModifiedBy>Cecilia Oh</cp:lastModifiedBy>
  <cp:revision>4</cp:revision>
  <cp:lastPrinted>2016-05-03T04:00:00Z</cp:lastPrinted>
  <dcterms:created xsi:type="dcterms:W3CDTF">2016-05-06T02:10:00Z</dcterms:created>
  <dcterms:modified xsi:type="dcterms:W3CDTF">2016-05-06T03:29:00Z</dcterms:modified>
</cp:coreProperties>
</file>